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08D3" w14:textId="26183DFB" w:rsidR="00AF70C1" w:rsidRPr="00F278BD" w:rsidRDefault="00AF70C1" w:rsidP="00AF70C1">
      <w:pPr>
        <w:shd w:val="clear" w:color="auto" w:fill="FFFFFF"/>
        <w:spacing w:after="240" w:line="240" w:lineRule="auto"/>
        <w:rPr>
          <w:rFonts w:ascii="Trebuchet MS" w:eastAsia="Times New Roman" w:hAnsi="Trebuchet MS" w:cs="Times New Roman"/>
          <w:b/>
          <w:bCs/>
          <w:i/>
          <w:iCs/>
          <w:color w:val="404040" w:themeColor="text1" w:themeTint="BF"/>
          <w:kern w:val="0"/>
          <w:sz w:val="24"/>
          <w:szCs w:val="24"/>
          <w:lang w:eastAsia="en-GB"/>
          <w14:ligatures w14:val="none"/>
        </w:rPr>
      </w:pPr>
      <w:r w:rsidRPr="00CC2D93">
        <w:rPr>
          <w:rFonts w:ascii="Trebuchet MS" w:eastAsia="Times New Roman" w:hAnsi="Trebuchet MS" w:cs="Times New Roman"/>
          <w:b/>
          <w:bCs/>
          <w:color w:val="404040" w:themeColor="text1" w:themeTint="BF"/>
          <w:kern w:val="0"/>
          <w:sz w:val="24"/>
          <w:szCs w:val="24"/>
          <w:lang w:eastAsia="en-GB"/>
          <w14:ligatures w14:val="none"/>
        </w:rPr>
        <w:t>Support for applicants</w:t>
      </w:r>
      <w:r>
        <w:rPr>
          <w:rFonts w:ascii="Trebuchet MS" w:eastAsia="Times New Roman" w:hAnsi="Trebuchet MS" w:cs="Times New Roman"/>
          <w:b/>
          <w:bCs/>
          <w:color w:val="404040" w:themeColor="text1" w:themeTint="BF"/>
          <w:kern w:val="0"/>
          <w:sz w:val="24"/>
          <w:szCs w:val="24"/>
          <w:lang w:eastAsia="en-GB"/>
          <w14:ligatures w14:val="none"/>
        </w:rPr>
        <w:t xml:space="preserve"> </w:t>
      </w:r>
    </w:p>
    <w:p w14:paraId="0B626F2E" w14:textId="77777777" w:rsidR="00AF70C1" w:rsidRPr="00CC2D93" w:rsidRDefault="00AF70C1" w:rsidP="00AF70C1">
      <w:pPr>
        <w:shd w:val="clear" w:color="auto" w:fill="FFFFFF"/>
        <w:spacing w:after="240" w:line="240" w:lineRule="auto"/>
        <w:rPr>
          <w:rFonts w:ascii="Trebuchet MS" w:eastAsia="Times New Roman" w:hAnsi="Trebuchet MS" w:cs="Times New Roman"/>
          <w:color w:val="404040" w:themeColor="text1" w:themeTint="BF"/>
          <w:kern w:val="0"/>
          <w:sz w:val="24"/>
          <w:szCs w:val="24"/>
          <w:lang w:eastAsia="en-GB"/>
          <w14:ligatures w14:val="none"/>
        </w:rPr>
      </w:pPr>
      <w:r w:rsidRPr="00CC2D93">
        <w:rPr>
          <w:rFonts w:ascii="Trebuchet MS" w:eastAsia="Times New Roman" w:hAnsi="Trebuchet MS" w:cs="Times New Roman"/>
          <w:color w:val="404040" w:themeColor="text1" w:themeTint="BF"/>
          <w:kern w:val="0"/>
          <w:sz w:val="24"/>
          <w:szCs w:val="24"/>
          <w:lang w:eastAsia="en-GB"/>
          <w14:ligatures w14:val="none"/>
        </w:rPr>
        <w:t>We understand that not all applicants have access to the same support or opportunities for interview preparation. The following links contain information on how to access application and interview preparation support nationally and in our three localities:</w:t>
      </w:r>
    </w:p>
    <w:p w14:paraId="5A4FFA19" w14:textId="77777777" w:rsidR="00AF70C1" w:rsidRDefault="00AF70C1" w:rsidP="00AF70C1">
      <w:pPr>
        <w:shd w:val="clear" w:color="auto" w:fill="FFFFFF"/>
        <w:spacing w:after="240" w:line="240" w:lineRule="auto"/>
      </w:pPr>
      <w:hyperlink r:id="rId4" w:history="1">
        <w:r>
          <w:rPr>
            <w:rStyle w:val="Hyperlink"/>
          </w:rPr>
          <w:t xml:space="preserve">Careers advice - job profiles, </w:t>
        </w:r>
        <w:proofErr w:type="gramStart"/>
        <w:r>
          <w:rPr>
            <w:rStyle w:val="Hyperlink"/>
          </w:rPr>
          <w:t>information</w:t>
        </w:r>
        <w:proofErr w:type="gramEnd"/>
        <w:r>
          <w:rPr>
            <w:rStyle w:val="Hyperlink"/>
          </w:rPr>
          <w:t xml:space="preserve"> and resources | National Careers Service</w:t>
        </w:r>
      </w:hyperlink>
    </w:p>
    <w:p w14:paraId="493A6860" w14:textId="77777777" w:rsidR="00AF70C1" w:rsidRDefault="00AF70C1" w:rsidP="00AF70C1">
      <w:pPr>
        <w:shd w:val="clear" w:color="auto" w:fill="FFFFFF"/>
        <w:spacing w:after="240" w:line="240" w:lineRule="auto"/>
      </w:pPr>
      <w:hyperlink r:id="rId5" w:history="1">
        <w:r>
          <w:rPr>
            <w:rStyle w:val="Hyperlink"/>
          </w:rPr>
          <w:t>Get Oldham Working | Oldham Council</w:t>
        </w:r>
      </w:hyperlink>
    </w:p>
    <w:p w14:paraId="60C2F5CD" w14:textId="77777777" w:rsidR="00AF70C1" w:rsidRDefault="00AF70C1" w:rsidP="00AF70C1">
      <w:pPr>
        <w:shd w:val="clear" w:color="auto" w:fill="FFFFFF"/>
        <w:spacing w:after="240" w:line="240" w:lineRule="auto"/>
      </w:pPr>
      <w:hyperlink r:id="rId6" w:history="1">
        <w:r>
          <w:rPr>
            <w:rStyle w:val="Hyperlink"/>
          </w:rPr>
          <w:t>Work and skills hubs | Rochdale Borough Council</w:t>
        </w:r>
      </w:hyperlink>
    </w:p>
    <w:p w14:paraId="325CABE4" w14:textId="77777777" w:rsidR="00AF70C1" w:rsidRDefault="00AF70C1" w:rsidP="00AF70C1">
      <w:pPr>
        <w:shd w:val="clear" w:color="auto" w:fill="FFFFFF"/>
        <w:spacing w:after="240" w:line="240" w:lineRule="auto"/>
        <w:rPr>
          <w:rStyle w:val="Hyperlink"/>
        </w:rPr>
      </w:pPr>
      <w:hyperlink r:id="rId7" w:history="1">
        <w:r>
          <w:rPr>
            <w:rStyle w:val="Hyperlink"/>
          </w:rPr>
          <w:t>Routes to Work are a supported employment service within Tameside Council.</w:t>
        </w:r>
      </w:hyperlink>
    </w:p>
    <w:p w14:paraId="283B0B51" w14:textId="77777777" w:rsidR="00AF70C1" w:rsidRPr="00CC2D93" w:rsidRDefault="00AF70C1" w:rsidP="00AF70C1">
      <w:pPr>
        <w:shd w:val="clear" w:color="auto" w:fill="FFFFFF"/>
        <w:spacing w:after="240" w:line="240" w:lineRule="auto"/>
        <w:rPr>
          <w:rStyle w:val="Hyperlink"/>
          <w:rFonts w:ascii="Trebuchet MS" w:hAnsi="Trebuchet MS"/>
          <w:color w:val="404040" w:themeColor="text1" w:themeTint="BF"/>
          <w:sz w:val="24"/>
          <w:szCs w:val="24"/>
        </w:rPr>
      </w:pPr>
      <w:r w:rsidRPr="00CC2D93">
        <w:rPr>
          <w:rStyle w:val="Hyperlink"/>
          <w:rFonts w:ascii="Trebuchet MS" w:hAnsi="Trebuchet MS"/>
          <w:color w:val="404040" w:themeColor="text1" w:themeTint="BF"/>
          <w:sz w:val="24"/>
          <w:szCs w:val="24"/>
        </w:rPr>
        <w:t xml:space="preserve">The link below provides guidance </w:t>
      </w:r>
      <w:r>
        <w:rPr>
          <w:rStyle w:val="Hyperlink"/>
          <w:rFonts w:ascii="Trebuchet MS" w:hAnsi="Trebuchet MS"/>
          <w:color w:val="404040" w:themeColor="text1" w:themeTint="BF"/>
          <w:sz w:val="24"/>
          <w:szCs w:val="24"/>
        </w:rPr>
        <w:t>about what impact working might have for those who currently are claiming benefits:</w:t>
      </w:r>
    </w:p>
    <w:p w14:paraId="7C2DF2D2" w14:textId="77777777" w:rsidR="00AF70C1" w:rsidRPr="00163943" w:rsidRDefault="00AF70C1" w:rsidP="00AF70C1">
      <w:pPr>
        <w:shd w:val="clear" w:color="auto" w:fill="FFFFFF"/>
        <w:spacing w:after="240" w:line="240" w:lineRule="auto"/>
      </w:pPr>
      <w:hyperlink r:id="rId8" w:history="1">
        <w:r>
          <w:rPr>
            <w:rStyle w:val="Hyperlink"/>
          </w:rPr>
          <w:t>Help with moving from benefits to work: Support when you start working - GOV.UK (www.gov.uk)</w:t>
        </w:r>
      </w:hyperlink>
    </w:p>
    <w:p w14:paraId="09C95EAC" w14:textId="2721929A" w:rsidR="00AF70C1" w:rsidRPr="00163943" w:rsidRDefault="00AF70C1" w:rsidP="00AF70C1">
      <w:pPr>
        <w:shd w:val="clear" w:color="auto" w:fill="FFFFFF"/>
        <w:spacing w:after="240" w:line="240" w:lineRule="auto"/>
        <w:rPr>
          <w:rFonts w:ascii="Trebuchet MS" w:eastAsia="Times New Roman" w:hAnsi="Trebuchet MS" w:cs="Times New Roman"/>
          <w:color w:val="505050"/>
          <w:kern w:val="0"/>
          <w:sz w:val="24"/>
          <w:szCs w:val="24"/>
          <w:lang w:eastAsia="en-GB"/>
          <w14:ligatures w14:val="none"/>
        </w:rPr>
      </w:pPr>
      <w:r>
        <w:rPr>
          <w:rFonts w:ascii="Trebuchet MS" w:eastAsia="Times New Roman" w:hAnsi="Trebuchet MS" w:cs="Times New Roman"/>
          <w:color w:val="505050"/>
          <w:kern w:val="0"/>
          <w:sz w:val="24"/>
          <w:szCs w:val="24"/>
          <w:lang w:eastAsia="en-GB"/>
          <w14:ligatures w14:val="none"/>
        </w:rPr>
        <w:t xml:space="preserve">Additionally, we understand that although we aim to make our recruitment process as inclusive and accessible as possible, there may be a need for us to provide reasonable adjustments to ensure equity. If you require reasonable adjustments at any point during the recruitment process, please contact </w:t>
      </w:r>
      <w:hyperlink r:id="rId9" w:history="1">
        <w:r w:rsidRPr="00DC2777">
          <w:rPr>
            <w:rStyle w:val="Hyperlink"/>
            <w:rFonts w:ascii="Trebuchet MS" w:eastAsia="Times New Roman" w:hAnsi="Trebuchet MS" w:cs="Times New Roman"/>
            <w:kern w:val="0"/>
            <w:sz w:val="24"/>
            <w:szCs w:val="24"/>
            <w:lang w:eastAsia="en-GB"/>
            <w14:ligatures w14:val="none"/>
          </w:rPr>
          <w:t>laura.hynes@actiontogether.org.uk</w:t>
        </w:r>
      </w:hyperlink>
      <w:r>
        <w:rPr>
          <w:rFonts w:ascii="Trebuchet MS" w:eastAsia="Times New Roman" w:hAnsi="Trebuchet MS" w:cs="Times New Roman"/>
          <w:color w:val="505050"/>
          <w:kern w:val="0"/>
          <w:sz w:val="24"/>
          <w:szCs w:val="24"/>
          <w:lang w:eastAsia="en-GB"/>
          <w14:ligatures w14:val="none"/>
        </w:rPr>
        <w:t xml:space="preserve"> </w:t>
      </w:r>
      <w:r>
        <w:rPr>
          <w:rFonts w:ascii="Trebuchet MS" w:eastAsia="Times New Roman" w:hAnsi="Trebuchet MS" w:cs="Times New Roman"/>
          <w:color w:val="505050"/>
          <w:kern w:val="0"/>
          <w:sz w:val="24"/>
          <w:szCs w:val="24"/>
          <w:lang w:eastAsia="en-GB"/>
          <w14:ligatures w14:val="none"/>
        </w:rPr>
        <w:t xml:space="preserve">. </w:t>
      </w:r>
      <w:r w:rsidRPr="00163943">
        <w:rPr>
          <w:rFonts w:ascii="Trebuchet MS" w:eastAsia="Times New Roman" w:hAnsi="Trebuchet MS" w:cs="Times New Roman"/>
          <w:color w:val="505050"/>
          <w:kern w:val="0"/>
          <w:sz w:val="24"/>
          <w:szCs w:val="24"/>
          <w:lang w:eastAsia="en-GB"/>
          <w14:ligatures w14:val="none"/>
        </w:rPr>
        <w:t>Examples of reasonable adjustments might include, but are not limited to:</w:t>
      </w:r>
    </w:p>
    <w:p w14:paraId="0D41B40B" w14:textId="77777777" w:rsidR="00AF70C1" w:rsidRPr="00163943" w:rsidRDefault="00AF70C1" w:rsidP="00AF70C1">
      <w:pPr>
        <w:shd w:val="clear" w:color="auto" w:fill="FFFFFF"/>
        <w:spacing w:after="240" w:line="240" w:lineRule="auto"/>
        <w:rPr>
          <w:rFonts w:ascii="Trebuchet MS" w:eastAsia="Times New Roman" w:hAnsi="Trebuchet MS" w:cs="Times New Roman"/>
          <w:color w:val="505050"/>
          <w:kern w:val="0"/>
          <w:sz w:val="24"/>
          <w:szCs w:val="24"/>
          <w:lang w:eastAsia="en-GB"/>
          <w14:ligatures w14:val="none"/>
        </w:rPr>
      </w:pPr>
      <w:r w:rsidRPr="00163943">
        <w:rPr>
          <w:rFonts w:ascii="Trebuchet MS" w:eastAsia="Times New Roman" w:hAnsi="Trebuchet MS" w:cs="Times New Roman"/>
          <w:color w:val="505050"/>
          <w:kern w:val="0"/>
          <w:sz w:val="24"/>
          <w:szCs w:val="24"/>
          <w:lang w:eastAsia="en-GB"/>
          <w14:ligatures w14:val="none"/>
        </w:rPr>
        <w:t>-</w:t>
      </w:r>
      <w:r w:rsidRPr="00163943">
        <w:rPr>
          <w:rFonts w:ascii="Trebuchet MS" w:eastAsia="Times New Roman" w:hAnsi="Trebuchet MS" w:cs="Times New Roman"/>
          <w:color w:val="505050"/>
          <w:kern w:val="0"/>
          <w:sz w:val="24"/>
          <w:szCs w:val="24"/>
          <w:lang w:eastAsia="en-GB"/>
          <w14:ligatures w14:val="none"/>
        </w:rPr>
        <w:tab/>
        <w:t>Meeting the hiring manager ahead of the interview date</w:t>
      </w:r>
    </w:p>
    <w:p w14:paraId="2CA4CF62" w14:textId="77777777" w:rsidR="00AF70C1" w:rsidRPr="00163943" w:rsidRDefault="00AF70C1" w:rsidP="00AF70C1">
      <w:pPr>
        <w:shd w:val="clear" w:color="auto" w:fill="FFFFFF"/>
        <w:spacing w:after="240" w:line="240" w:lineRule="auto"/>
        <w:rPr>
          <w:rFonts w:ascii="Trebuchet MS" w:eastAsia="Times New Roman" w:hAnsi="Trebuchet MS" w:cs="Times New Roman"/>
          <w:color w:val="505050"/>
          <w:kern w:val="0"/>
          <w:sz w:val="24"/>
          <w:szCs w:val="24"/>
          <w:lang w:eastAsia="en-GB"/>
          <w14:ligatures w14:val="none"/>
        </w:rPr>
      </w:pPr>
      <w:r w:rsidRPr="00163943">
        <w:rPr>
          <w:rFonts w:ascii="Trebuchet MS" w:eastAsia="Times New Roman" w:hAnsi="Trebuchet MS" w:cs="Times New Roman"/>
          <w:color w:val="505050"/>
          <w:kern w:val="0"/>
          <w:sz w:val="24"/>
          <w:szCs w:val="24"/>
          <w:lang w:eastAsia="en-GB"/>
          <w14:ligatures w14:val="none"/>
        </w:rPr>
        <w:t>-</w:t>
      </w:r>
      <w:r w:rsidRPr="00163943">
        <w:rPr>
          <w:rFonts w:ascii="Trebuchet MS" w:eastAsia="Times New Roman" w:hAnsi="Trebuchet MS" w:cs="Times New Roman"/>
          <w:color w:val="505050"/>
          <w:kern w:val="0"/>
          <w:sz w:val="24"/>
          <w:szCs w:val="24"/>
          <w:lang w:eastAsia="en-GB"/>
          <w14:ligatures w14:val="none"/>
        </w:rPr>
        <w:tab/>
      </w:r>
      <w:r>
        <w:rPr>
          <w:rFonts w:ascii="Trebuchet MS" w:eastAsia="Times New Roman" w:hAnsi="Trebuchet MS" w:cs="Times New Roman"/>
          <w:color w:val="505050"/>
          <w:kern w:val="0"/>
          <w:sz w:val="24"/>
          <w:szCs w:val="24"/>
          <w:lang w:eastAsia="en-GB"/>
          <w14:ligatures w14:val="none"/>
        </w:rPr>
        <w:t>A</w:t>
      </w:r>
      <w:r w:rsidRPr="00163943">
        <w:rPr>
          <w:rFonts w:ascii="Trebuchet MS" w:eastAsia="Times New Roman" w:hAnsi="Trebuchet MS" w:cs="Times New Roman"/>
          <w:color w:val="505050"/>
          <w:kern w:val="0"/>
          <w:sz w:val="24"/>
          <w:szCs w:val="24"/>
          <w:lang w:eastAsia="en-GB"/>
          <w14:ligatures w14:val="none"/>
        </w:rPr>
        <w:t xml:space="preserve"> tour of the interview venue ahead of the interview date</w:t>
      </w:r>
    </w:p>
    <w:p w14:paraId="49B49DB8" w14:textId="538B6FEE" w:rsidR="00AF70C1" w:rsidRPr="00163943" w:rsidRDefault="00AF70C1" w:rsidP="00AF70C1">
      <w:pPr>
        <w:shd w:val="clear" w:color="auto" w:fill="FFFFFF"/>
        <w:spacing w:after="240" w:line="240" w:lineRule="auto"/>
        <w:rPr>
          <w:rFonts w:ascii="Trebuchet MS" w:eastAsia="Times New Roman" w:hAnsi="Trebuchet MS" w:cs="Times New Roman"/>
          <w:color w:val="505050"/>
          <w:kern w:val="0"/>
          <w:sz w:val="24"/>
          <w:szCs w:val="24"/>
          <w:lang w:eastAsia="en-GB"/>
          <w14:ligatures w14:val="none"/>
        </w:rPr>
      </w:pPr>
      <w:r w:rsidRPr="00163943">
        <w:rPr>
          <w:rFonts w:ascii="Trebuchet MS" w:eastAsia="Times New Roman" w:hAnsi="Trebuchet MS" w:cs="Times New Roman"/>
          <w:color w:val="505050"/>
          <w:kern w:val="0"/>
          <w:sz w:val="24"/>
          <w:szCs w:val="24"/>
          <w:lang w:eastAsia="en-GB"/>
          <w14:ligatures w14:val="none"/>
        </w:rPr>
        <w:t>-</w:t>
      </w:r>
      <w:r w:rsidRPr="00163943">
        <w:rPr>
          <w:rFonts w:ascii="Trebuchet MS" w:eastAsia="Times New Roman" w:hAnsi="Trebuchet MS" w:cs="Times New Roman"/>
          <w:color w:val="505050"/>
          <w:kern w:val="0"/>
          <w:sz w:val="24"/>
          <w:szCs w:val="24"/>
          <w:lang w:eastAsia="en-GB"/>
          <w14:ligatures w14:val="none"/>
        </w:rPr>
        <w:tab/>
        <w:t xml:space="preserve">Additional processing time for </w:t>
      </w:r>
      <w:r>
        <w:rPr>
          <w:rFonts w:ascii="Trebuchet MS" w:eastAsia="Times New Roman" w:hAnsi="Trebuchet MS" w:cs="Times New Roman"/>
          <w:color w:val="505050"/>
          <w:kern w:val="0"/>
          <w:sz w:val="24"/>
          <w:szCs w:val="24"/>
          <w:lang w:eastAsia="en-GB"/>
          <w14:ligatures w14:val="none"/>
        </w:rPr>
        <w:t>interview tasks</w:t>
      </w:r>
    </w:p>
    <w:p w14:paraId="311381BF" w14:textId="20902269" w:rsidR="00AF70C1" w:rsidRDefault="00AF70C1" w:rsidP="00AF70C1">
      <w:pPr>
        <w:shd w:val="clear" w:color="auto" w:fill="FFFFFF"/>
        <w:spacing w:after="240" w:line="240" w:lineRule="auto"/>
        <w:rPr>
          <w:rFonts w:ascii="Trebuchet MS" w:eastAsia="Times New Roman" w:hAnsi="Trebuchet MS" w:cs="Times New Roman"/>
          <w:color w:val="505050"/>
          <w:kern w:val="0"/>
          <w:sz w:val="24"/>
          <w:szCs w:val="24"/>
          <w:lang w:eastAsia="en-GB"/>
          <w14:ligatures w14:val="none"/>
        </w:rPr>
      </w:pPr>
      <w:r w:rsidRPr="00163943">
        <w:rPr>
          <w:rFonts w:ascii="Trebuchet MS" w:eastAsia="Times New Roman" w:hAnsi="Trebuchet MS" w:cs="Times New Roman"/>
          <w:color w:val="505050"/>
          <w:kern w:val="0"/>
          <w:sz w:val="24"/>
          <w:szCs w:val="24"/>
          <w:lang w:eastAsia="en-GB"/>
          <w14:ligatures w14:val="none"/>
        </w:rPr>
        <w:t>-</w:t>
      </w:r>
      <w:r w:rsidRPr="00163943">
        <w:rPr>
          <w:rFonts w:ascii="Trebuchet MS" w:eastAsia="Times New Roman" w:hAnsi="Trebuchet MS" w:cs="Times New Roman"/>
          <w:color w:val="505050"/>
          <w:kern w:val="0"/>
          <w:sz w:val="24"/>
          <w:szCs w:val="24"/>
          <w:lang w:eastAsia="en-GB"/>
          <w14:ligatures w14:val="none"/>
        </w:rPr>
        <w:tab/>
        <w:t xml:space="preserve">Accessibility software or a laptop for </w:t>
      </w:r>
      <w:r>
        <w:rPr>
          <w:rFonts w:ascii="Trebuchet MS" w:eastAsia="Times New Roman" w:hAnsi="Trebuchet MS" w:cs="Times New Roman"/>
          <w:color w:val="505050"/>
          <w:kern w:val="0"/>
          <w:sz w:val="24"/>
          <w:szCs w:val="24"/>
          <w:lang w:eastAsia="en-GB"/>
          <w14:ligatures w14:val="none"/>
        </w:rPr>
        <w:t>written tests or tasks</w:t>
      </w:r>
    </w:p>
    <w:p w14:paraId="7D7436A6" w14:textId="4F51CAEA" w:rsidR="00523A94" w:rsidRDefault="00523A94"/>
    <w:sectPr w:rsidR="00523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C1"/>
    <w:rsid w:val="00523A94"/>
    <w:rsid w:val="007826B2"/>
    <w:rsid w:val="009B56C6"/>
    <w:rsid w:val="00AF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2A95"/>
  <w15:chartTrackingRefBased/>
  <w15:docId w15:val="{39117AF2-A5DF-4396-B123-093D0604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0C1"/>
    <w:rPr>
      <w:color w:val="0000FF"/>
      <w:u w:val="single"/>
    </w:rPr>
  </w:style>
  <w:style w:type="character" w:styleId="UnresolvedMention">
    <w:name w:val="Unresolved Mention"/>
    <w:basedOn w:val="DefaultParagraphFont"/>
    <w:uiPriority w:val="99"/>
    <w:semiHidden/>
    <w:unhideWhenUsed/>
    <w:rsid w:val="00AF7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moving-from-benefits-to-work/support-when-you-start-working" TargetMode="External"/><Relationship Id="rId3" Type="http://schemas.openxmlformats.org/officeDocument/2006/relationships/webSettings" Target="webSettings.xml"/><Relationship Id="rId7" Type="http://schemas.openxmlformats.org/officeDocument/2006/relationships/hyperlink" Target="https://www.tameside.gov.uk/supportedemploy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chdale.gov.uk/workandskillshubs" TargetMode="External"/><Relationship Id="rId11" Type="http://schemas.openxmlformats.org/officeDocument/2006/relationships/theme" Target="theme/theme1.xml"/><Relationship Id="rId5" Type="http://schemas.openxmlformats.org/officeDocument/2006/relationships/hyperlink" Target="https://www.oldham.gov.uk/info/200850/get_oldham_working" TargetMode="External"/><Relationship Id="rId10" Type="http://schemas.openxmlformats.org/officeDocument/2006/relationships/fontTable" Target="fontTable.xml"/><Relationship Id="rId4" Type="http://schemas.openxmlformats.org/officeDocument/2006/relationships/hyperlink" Target="https://nationalcareers.service.gov.uk/" TargetMode="External"/><Relationship Id="rId9" Type="http://schemas.openxmlformats.org/officeDocument/2006/relationships/hyperlink" Target="mailto:laura.hynes@actiontoget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Hynes</dc:creator>
  <cp:keywords/>
  <dc:description/>
  <cp:lastModifiedBy>Laura Hynes</cp:lastModifiedBy>
  <cp:revision>2</cp:revision>
  <dcterms:created xsi:type="dcterms:W3CDTF">2023-12-11T12:50:00Z</dcterms:created>
  <dcterms:modified xsi:type="dcterms:W3CDTF">2023-12-11T14:05:00Z</dcterms:modified>
</cp:coreProperties>
</file>