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9E50E" w14:textId="77777777" w:rsidR="00CB6202" w:rsidRDefault="00F0122C">
      <w:pPr>
        <w:spacing w:line="259" w:lineRule="auto"/>
        <w:ind w:left="0" w:firstLine="0"/>
      </w:pPr>
      <w:r>
        <w:rPr>
          <w:rFonts w:ascii="Arial" w:eastAsia="Arial" w:hAnsi="Arial" w:cs="Arial"/>
        </w:rPr>
        <w:t xml:space="preserve"> </w:t>
      </w:r>
    </w:p>
    <w:p w14:paraId="3D25256D" w14:textId="77777777" w:rsidR="00CB6202" w:rsidRDefault="00F0122C">
      <w:pPr>
        <w:spacing w:line="259" w:lineRule="auto"/>
        <w:ind w:left="0" w:firstLine="0"/>
      </w:pPr>
      <w:r>
        <w:rPr>
          <w:rFonts w:ascii="Arial" w:eastAsia="Arial" w:hAnsi="Arial" w:cs="Arial"/>
          <w:color w:val="008000"/>
        </w:rPr>
        <w:t xml:space="preserve"> </w:t>
      </w:r>
    </w:p>
    <w:tbl>
      <w:tblPr>
        <w:tblStyle w:val="TableGrid"/>
        <w:tblW w:w="10956" w:type="dxa"/>
        <w:tblInd w:w="-108" w:type="dxa"/>
        <w:tblCellMar>
          <w:top w:w="53" w:type="dxa"/>
          <w:left w:w="108" w:type="dxa"/>
          <w:bottom w:w="0" w:type="dxa"/>
          <w:right w:w="44" w:type="dxa"/>
        </w:tblCellMar>
        <w:tblLook w:val="04A0" w:firstRow="1" w:lastRow="0" w:firstColumn="1" w:lastColumn="0" w:noHBand="0" w:noVBand="1"/>
      </w:tblPr>
      <w:tblGrid>
        <w:gridCol w:w="4928"/>
        <w:gridCol w:w="6028"/>
      </w:tblGrid>
      <w:tr w:rsidR="00CB6202" w14:paraId="2DCBD191" w14:textId="77777777">
        <w:trPr>
          <w:trHeight w:val="756"/>
        </w:trPr>
        <w:tc>
          <w:tcPr>
            <w:tcW w:w="4928" w:type="dxa"/>
            <w:tcBorders>
              <w:top w:val="single" w:sz="4" w:space="0" w:color="000000"/>
              <w:left w:val="single" w:sz="4" w:space="0" w:color="000000"/>
              <w:bottom w:val="single" w:sz="4" w:space="0" w:color="000000"/>
              <w:right w:val="single" w:sz="4" w:space="0" w:color="000000"/>
            </w:tcBorders>
          </w:tcPr>
          <w:p w14:paraId="55198A2F" w14:textId="39E401EC" w:rsidR="00CB6202" w:rsidRDefault="00F0122C">
            <w:pPr>
              <w:spacing w:line="259" w:lineRule="auto"/>
              <w:ind w:left="0" w:firstLine="0"/>
            </w:pPr>
            <w:r>
              <w:rPr>
                <w:b/>
              </w:rPr>
              <w:t>Grade:</w:t>
            </w:r>
            <w:r>
              <w:t xml:space="preserve"> NJC scale point 19 </w:t>
            </w:r>
            <w:r>
              <w:t>–</w:t>
            </w:r>
            <w:r>
              <w:t xml:space="preserve"> 22 £2</w:t>
            </w:r>
            <w:r w:rsidR="00F36D7E">
              <w:t>5,481-</w:t>
            </w:r>
            <w:r w:rsidR="007F4D8E">
              <w:t>£</w:t>
            </w:r>
            <w:r w:rsidR="00F36D7E">
              <w:t>27,041</w:t>
            </w:r>
          </w:p>
          <w:p w14:paraId="4FD700C5" w14:textId="77777777" w:rsidR="00CB6202" w:rsidRDefault="00F0122C">
            <w:pPr>
              <w:spacing w:line="259" w:lineRule="auto"/>
              <w:ind w:left="0" w:firstLine="0"/>
            </w:pPr>
            <w:r>
              <w:t xml:space="preserve"> </w:t>
            </w:r>
          </w:p>
        </w:tc>
        <w:tc>
          <w:tcPr>
            <w:tcW w:w="6028" w:type="dxa"/>
            <w:tcBorders>
              <w:top w:val="single" w:sz="4" w:space="0" w:color="000000"/>
              <w:left w:val="single" w:sz="4" w:space="0" w:color="000000"/>
              <w:bottom w:val="single" w:sz="4" w:space="0" w:color="000000"/>
              <w:right w:val="single" w:sz="4" w:space="0" w:color="000000"/>
            </w:tcBorders>
          </w:tcPr>
          <w:p w14:paraId="06455B4A" w14:textId="77777777" w:rsidR="00CB6202" w:rsidRDefault="00F0122C">
            <w:pPr>
              <w:spacing w:line="259" w:lineRule="auto"/>
              <w:ind w:left="0" w:right="63" w:firstLine="0"/>
            </w:pPr>
            <w:r>
              <w:rPr>
                <w:b/>
              </w:rPr>
              <w:t>Line Manager</w:t>
            </w:r>
            <w:r>
              <w:t xml:space="preserve">: Social Prescribing Programme Manager </w:t>
            </w:r>
            <w:r>
              <w:t>–</w:t>
            </w:r>
            <w:r>
              <w:t xml:space="preserve"> Community Wellbeing Team </w:t>
            </w:r>
          </w:p>
        </w:tc>
      </w:tr>
      <w:tr w:rsidR="00CB6202" w14:paraId="13F9DAAC" w14:textId="77777777">
        <w:trPr>
          <w:trHeight w:val="845"/>
        </w:trPr>
        <w:tc>
          <w:tcPr>
            <w:tcW w:w="4928" w:type="dxa"/>
            <w:tcBorders>
              <w:top w:val="single" w:sz="4" w:space="0" w:color="000000"/>
              <w:left w:val="single" w:sz="4" w:space="0" w:color="000000"/>
              <w:bottom w:val="single" w:sz="4" w:space="0" w:color="000000"/>
              <w:right w:val="single" w:sz="4" w:space="0" w:color="000000"/>
            </w:tcBorders>
          </w:tcPr>
          <w:p w14:paraId="7F337D8A" w14:textId="77777777" w:rsidR="00CB6202" w:rsidRDefault="00F0122C">
            <w:pPr>
              <w:spacing w:line="259" w:lineRule="auto"/>
              <w:ind w:left="0" w:firstLine="0"/>
            </w:pPr>
            <w:r>
              <w:rPr>
                <w:b/>
              </w:rPr>
              <w:t xml:space="preserve"> </w:t>
            </w:r>
          </w:p>
          <w:p w14:paraId="75641D7A" w14:textId="77777777" w:rsidR="00CB6202" w:rsidRDefault="00F0122C">
            <w:pPr>
              <w:spacing w:line="259" w:lineRule="auto"/>
              <w:ind w:left="0" w:firstLine="0"/>
            </w:pPr>
            <w:r>
              <w:rPr>
                <w:b/>
              </w:rPr>
              <w:t>Hours:</w:t>
            </w:r>
            <w:r>
              <w:t xml:space="preserve"> 36 hours per week </w:t>
            </w:r>
          </w:p>
          <w:p w14:paraId="1CCBC563" w14:textId="77777777" w:rsidR="00CB6202" w:rsidRDefault="00F0122C">
            <w:pPr>
              <w:spacing w:line="259" w:lineRule="auto"/>
              <w:ind w:left="0" w:firstLine="0"/>
            </w:pPr>
            <w:r>
              <w:t xml:space="preserve"> </w:t>
            </w:r>
          </w:p>
        </w:tc>
        <w:tc>
          <w:tcPr>
            <w:tcW w:w="6028" w:type="dxa"/>
            <w:tcBorders>
              <w:top w:val="single" w:sz="4" w:space="0" w:color="000000"/>
              <w:left w:val="single" w:sz="4" w:space="0" w:color="000000"/>
              <w:bottom w:val="single" w:sz="4" w:space="0" w:color="000000"/>
              <w:right w:val="single" w:sz="4" w:space="0" w:color="000000"/>
            </w:tcBorders>
            <w:vAlign w:val="center"/>
          </w:tcPr>
          <w:p w14:paraId="50602860" w14:textId="7B2A9518" w:rsidR="00CB6202" w:rsidRDefault="00F0122C">
            <w:pPr>
              <w:spacing w:line="259" w:lineRule="auto"/>
              <w:ind w:left="0" w:firstLine="0"/>
            </w:pPr>
            <w:r>
              <w:rPr>
                <w:b/>
              </w:rPr>
              <w:t>Period of contract</w:t>
            </w:r>
            <w:r>
              <w:t xml:space="preserve">:12 months fixed term </w:t>
            </w:r>
            <w:r w:rsidR="00F36D7E">
              <w:t>(with potential to extend)</w:t>
            </w:r>
          </w:p>
        </w:tc>
      </w:tr>
      <w:tr w:rsidR="00CB6202" w14:paraId="3520B2D4" w14:textId="77777777">
        <w:trPr>
          <w:trHeight w:val="2242"/>
        </w:trPr>
        <w:tc>
          <w:tcPr>
            <w:tcW w:w="4928" w:type="dxa"/>
            <w:tcBorders>
              <w:top w:val="single" w:sz="4" w:space="0" w:color="000000"/>
              <w:left w:val="single" w:sz="4" w:space="0" w:color="000000"/>
              <w:bottom w:val="single" w:sz="4" w:space="0" w:color="000000"/>
              <w:right w:val="single" w:sz="4" w:space="0" w:color="000000"/>
            </w:tcBorders>
          </w:tcPr>
          <w:p w14:paraId="7346AC42" w14:textId="77777777" w:rsidR="00CB6202" w:rsidRDefault="00F0122C">
            <w:pPr>
              <w:spacing w:line="259" w:lineRule="auto"/>
              <w:ind w:left="0" w:firstLine="0"/>
            </w:pPr>
            <w:r>
              <w:rPr>
                <w:b/>
              </w:rPr>
              <w:t>Geographical area</w:t>
            </w:r>
            <w:r>
              <w:t>:</w:t>
            </w:r>
            <w:r>
              <w:rPr>
                <w:rFonts w:ascii="Arial" w:eastAsia="Arial" w:hAnsi="Arial" w:cs="Arial"/>
              </w:rPr>
              <w:t xml:space="preserve">  </w:t>
            </w:r>
          </w:p>
          <w:p w14:paraId="794B4D85" w14:textId="77777777" w:rsidR="00CB6202" w:rsidRDefault="00F0122C">
            <w:pPr>
              <w:spacing w:line="259" w:lineRule="auto"/>
              <w:ind w:left="0" w:firstLine="0"/>
            </w:pPr>
            <w:r>
              <w:t xml:space="preserve">Tameside </w:t>
            </w:r>
            <w:r>
              <w:t>–</w:t>
            </w:r>
            <w:r>
              <w:t xml:space="preserve">Primary Care Network (PCN) </w:t>
            </w:r>
          </w:p>
          <w:p w14:paraId="58E9D6BC" w14:textId="77777777" w:rsidR="00CB6202" w:rsidRDefault="00F0122C">
            <w:pPr>
              <w:spacing w:line="259" w:lineRule="auto"/>
              <w:ind w:left="0" w:firstLine="0"/>
            </w:pPr>
            <w:r>
              <w:t xml:space="preserve"> </w:t>
            </w:r>
          </w:p>
        </w:tc>
        <w:tc>
          <w:tcPr>
            <w:tcW w:w="6028" w:type="dxa"/>
            <w:tcBorders>
              <w:top w:val="single" w:sz="4" w:space="0" w:color="000000"/>
              <w:left w:val="single" w:sz="4" w:space="0" w:color="000000"/>
              <w:bottom w:val="single" w:sz="4" w:space="0" w:color="000000"/>
              <w:right w:val="single" w:sz="4" w:space="0" w:color="000000"/>
            </w:tcBorders>
          </w:tcPr>
          <w:p w14:paraId="1DDFC809" w14:textId="77777777" w:rsidR="00CB6202" w:rsidRDefault="00F0122C">
            <w:pPr>
              <w:spacing w:line="259" w:lineRule="auto"/>
              <w:ind w:left="0" w:firstLine="0"/>
            </w:pPr>
            <w:r>
              <w:rPr>
                <w:b/>
              </w:rPr>
              <w:t xml:space="preserve">Main contacts: </w:t>
            </w:r>
          </w:p>
          <w:p w14:paraId="2D09BDAA" w14:textId="77777777" w:rsidR="00CB6202" w:rsidRDefault="00F0122C">
            <w:pPr>
              <w:spacing w:line="259" w:lineRule="auto"/>
              <w:ind w:left="0" w:firstLine="0"/>
            </w:pPr>
            <w:r>
              <w:t xml:space="preserve">Local people, volunteers, and staff from local </w:t>
            </w:r>
          </w:p>
          <w:p w14:paraId="69BDE5AB" w14:textId="77777777" w:rsidR="00CB6202" w:rsidRDefault="00F0122C">
            <w:pPr>
              <w:spacing w:line="259" w:lineRule="auto"/>
              <w:ind w:left="0" w:firstLine="0"/>
            </w:pPr>
            <w:r>
              <w:t xml:space="preserve">Voluntary, Community, Faith and Social Enterprise (VCFSE) groups, Officers from partner agencies across the PCN and Neighbourhood footprint </w:t>
            </w:r>
            <w:proofErr w:type="gramStart"/>
            <w:r>
              <w:t>including;</w:t>
            </w:r>
            <w:proofErr w:type="gramEnd"/>
            <w:r>
              <w:t xml:space="preserve"> TMBC, G</w:t>
            </w:r>
            <w:r>
              <w:t xml:space="preserve">P’s </w:t>
            </w:r>
            <w:r>
              <w:t xml:space="preserve">and Primary Care, Tameside &amp; Glossop </w:t>
            </w:r>
            <w:r>
              <w:t xml:space="preserve">CCG and the ICFT, Elected Members, all Action Together teams. </w:t>
            </w:r>
          </w:p>
        </w:tc>
      </w:tr>
    </w:tbl>
    <w:tbl>
      <w:tblPr>
        <w:tblStyle w:val="TableGrid"/>
        <w:tblpPr w:vertAnchor="page" w:horzAnchor="page" w:tblpX="454" w:tblpY="713"/>
        <w:tblOverlap w:val="never"/>
        <w:tblW w:w="10924" w:type="dxa"/>
        <w:tblInd w:w="0" w:type="dxa"/>
        <w:tblCellMar>
          <w:top w:w="5" w:type="dxa"/>
          <w:left w:w="0" w:type="dxa"/>
          <w:bottom w:w="0" w:type="dxa"/>
          <w:right w:w="66" w:type="dxa"/>
        </w:tblCellMar>
        <w:tblLook w:val="04A0" w:firstRow="1" w:lastRow="0" w:firstColumn="1" w:lastColumn="0" w:noHBand="0" w:noVBand="1"/>
      </w:tblPr>
      <w:tblGrid>
        <w:gridCol w:w="4928"/>
        <w:gridCol w:w="5466"/>
        <w:gridCol w:w="530"/>
      </w:tblGrid>
      <w:tr w:rsidR="00CB6202" w14:paraId="74CE0A82" w14:textId="77777777">
        <w:trPr>
          <w:trHeight w:val="2163"/>
        </w:trPr>
        <w:tc>
          <w:tcPr>
            <w:tcW w:w="4928" w:type="dxa"/>
            <w:tcBorders>
              <w:top w:val="single" w:sz="4" w:space="0" w:color="000000"/>
              <w:left w:val="single" w:sz="4" w:space="0" w:color="000000"/>
              <w:bottom w:val="single" w:sz="4" w:space="0" w:color="000000"/>
              <w:right w:val="single" w:sz="4" w:space="0" w:color="000000"/>
            </w:tcBorders>
          </w:tcPr>
          <w:p w14:paraId="42794376" w14:textId="77777777" w:rsidR="00CB6202" w:rsidRDefault="00F0122C">
            <w:pPr>
              <w:spacing w:line="259" w:lineRule="auto"/>
              <w:ind w:left="108" w:firstLine="0"/>
            </w:pPr>
            <w:r>
              <w:rPr>
                <w:noProof/>
              </w:rPr>
              <w:drawing>
                <wp:inline distT="0" distB="0" distL="0" distR="0" wp14:anchorId="281F6F14" wp14:editId="58F50A3C">
                  <wp:extent cx="3018790" cy="11671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018790" cy="1167130"/>
                          </a:xfrm>
                          <a:prstGeom prst="rect">
                            <a:avLst/>
                          </a:prstGeom>
                        </pic:spPr>
                      </pic:pic>
                    </a:graphicData>
                  </a:graphic>
                </wp:inline>
              </w:drawing>
            </w:r>
          </w:p>
        </w:tc>
        <w:tc>
          <w:tcPr>
            <w:tcW w:w="5466" w:type="dxa"/>
            <w:tcBorders>
              <w:top w:val="single" w:sz="4" w:space="0" w:color="000000"/>
              <w:left w:val="single" w:sz="4" w:space="0" w:color="000000"/>
              <w:bottom w:val="single" w:sz="4" w:space="0" w:color="000000"/>
              <w:right w:val="single" w:sz="4" w:space="0" w:color="000000"/>
            </w:tcBorders>
          </w:tcPr>
          <w:p w14:paraId="411DD48B" w14:textId="77777777" w:rsidR="00CB6202" w:rsidRDefault="00F0122C">
            <w:pPr>
              <w:spacing w:line="259" w:lineRule="auto"/>
              <w:ind w:left="208" w:firstLine="0"/>
              <w:jc w:val="center"/>
            </w:pPr>
            <w:r>
              <w:rPr>
                <w:b/>
                <w:sz w:val="48"/>
              </w:rPr>
              <w:t xml:space="preserve"> </w:t>
            </w:r>
          </w:p>
          <w:p w14:paraId="306FA7B2" w14:textId="77777777" w:rsidR="00CB6202" w:rsidRDefault="00F0122C">
            <w:pPr>
              <w:spacing w:line="259" w:lineRule="auto"/>
              <w:ind w:left="61" w:firstLine="0"/>
              <w:jc w:val="center"/>
            </w:pPr>
            <w:r>
              <w:rPr>
                <w:b/>
                <w:sz w:val="48"/>
              </w:rPr>
              <w:t xml:space="preserve">Social Prescribing </w:t>
            </w:r>
          </w:p>
          <w:p w14:paraId="46813147" w14:textId="77777777" w:rsidR="00CB6202" w:rsidRDefault="00F0122C">
            <w:pPr>
              <w:spacing w:line="259" w:lineRule="auto"/>
              <w:ind w:left="68" w:firstLine="0"/>
              <w:jc w:val="center"/>
            </w:pPr>
            <w:r>
              <w:rPr>
                <w:b/>
                <w:sz w:val="48"/>
              </w:rPr>
              <w:t xml:space="preserve">Link Worker </w:t>
            </w:r>
          </w:p>
          <w:p w14:paraId="654C53EC" w14:textId="77777777" w:rsidR="00CB6202" w:rsidRDefault="00F0122C">
            <w:pPr>
              <w:spacing w:line="259" w:lineRule="auto"/>
              <w:ind w:left="-65" w:firstLine="0"/>
            </w:pPr>
            <w:r>
              <w:rPr>
                <w:b/>
                <w:sz w:val="48"/>
              </w:rPr>
              <w:t xml:space="preserve"> </w:t>
            </w:r>
          </w:p>
        </w:tc>
        <w:tc>
          <w:tcPr>
            <w:tcW w:w="530" w:type="dxa"/>
            <w:tcBorders>
              <w:top w:val="single" w:sz="4" w:space="0" w:color="000000"/>
              <w:left w:val="single" w:sz="4" w:space="0" w:color="000000"/>
              <w:bottom w:val="single" w:sz="4" w:space="0" w:color="000000"/>
              <w:right w:val="single" w:sz="4" w:space="0" w:color="000000"/>
            </w:tcBorders>
          </w:tcPr>
          <w:p w14:paraId="3C3C6A7D" w14:textId="77777777" w:rsidR="00CB6202" w:rsidRDefault="00F0122C">
            <w:pPr>
              <w:spacing w:line="259" w:lineRule="auto"/>
              <w:ind w:left="139" w:firstLine="0"/>
            </w:pPr>
            <w:r>
              <w:rPr>
                <w:rFonts w:ascii="Calibri" w:eastAsia="Calibri" w:hAnsi="Calibri" w:cs="Calibri"/>
                <w:noProof/>
                <w:sz w:val="22"/>
              </w:rPr>
              <mc:AlternateContent>
                <mc:Choice Requires="wpg">
                  <w:drawing>
                    <wp:inline distT="0" distB="0" distL="0" distR="0" wp14:anchorId="4B9693EF" wp14:editId="6AB6267E">
                      <wp:extent cx="146224" cy="1158647"/>
                      <wp:effectExtent l="0" t="0" r="0" b="0"/>
                      <wp:docPr id="4356" name="Group 4356"/>
                      <wp:cNvGraphicFramePr/>
                      <a:graphic xmlns:a="http://schemas.openxmlformats.org/drawingml/2006/main">
                        <a:graphicData uri="http://schemas.microsoft.com/office/word/2010/wordprocessingGroup">
                          <wpg:wgp>
                            <wpg:cNvGrpSpPr/>
                            <wpg:grpSpPr>
                              <a:xfrm>
                                <a:off x="0" y="0"/>
                                <a:ext cx="146224" cy="1158647"/>
                                <a:chOff x="0" y="0"/>
                                <a:chExt cx="146224" cy="1158647"/>
                              </a:xfrm>
                            </wpg:grpSpPr>
                            <wps:wsp>
                              <wps:cNvPr id="16" name="Rectangle 16"/>
                              <wps:cNvSpPr/>
                              <wps:spPr>
                                <a:xfrm rot="5399999">
                                  <a:off x="-690434" y="642182"/>
                                  <a:ext cx="1478841" cy="194477"/>
                                </a:xfrm>
                                <a:prstGeom prst="rect">
                                  <a:avLst/>
                                </a:prstGeom>
                                <a:ln>
                                  <a:noFill/>
                                </a:ln>
                              </wps:spPr>
                              <wps:txbx>
                                <w:txbxContent>
                                  <w:p w14:paraId="277BCF61" w14:textId="77777777" w:rsidR="00CB6202" w:rsidRDefault="00F0122C">
                                    <w:pPr>
                                      <w:spacing w:after="160" w:line="259" w:lineRule="auto"/>
                                      <w:ind w:left="0" w:firstLine="0"/>
                                    </w:pPr>
                                    <w:r>
                                      <w:rPr>
                                        <w:b/>
                                      </w:rPr>
                                      <w:t>Job Description</w:t>
                                    </w:r>
                                  </w:p>
                                </w:txbxContent>
                              </wps:txbx>
                              <wps:bodyPr horzOverflow="overflow" vert="horz" lIns="0" tIns="0" rIns="0" bIns="0" rtlCol="0">
                                <a:noAutofit/>
                              </wps:bodyPr>
                            </wps:wsp>
                            <wps:wsp>
                              <wps:cNvPr id="17" name="Rectangle 17"/>
                              <wps:cNvSpPr/>
                              <wps:spPr>
                                <a:xfrm rot="5399999">
                                  <a:off x="18479" y="1046042"/>
                                  <a:ext cx="61011" cy="194477"/>
                                </a:xfrm>
                                <a:prstGeom prst="rect">
                                  <a:avLst/>
                                </a:prstGeom>
                                <a:ln>
                                  <a:noFill/>
                                </a:ln>
                              </wps:spPr>
                              <wps:txbx>
                                <w:txbxContent>
                                  <w:p w14:paraId="5C58DEF9" w14:textId="77777777" w:rsidR="00CB6202" w:rsidRDefault="00F0122C">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4B9693EF" id="Group 4356" o:spid="_x0000_s1026" style="width:11.5pt;height:91.25pt;mso-position-horizontal-relative:char;mso-position-vertical-relative:line" coordsize="1462,1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">
                      <v:rect id="Rectangle 16" o:spid="_x0000_s1027" style="position:absolute;left:-6904;top:6422;width:14788;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" filled="f" stroked="f">
                        <v:textbox inset="0,0,0,0">
                          <w:txbxContent>
                            <w:p w14:paraId="277BCF61" w14:textId="77777777" w:rsidR="00CB6202" w:rsidRDefault="00F0122C">
                              <w:pPr>
                                <w:spacing w:after="160" w:line="259" w:lineRule="auto"/>
                                <w:ind w:left="0" w:firstLine="0"/>
                              </w:pPr>
                              <w:r>
                                <w:rPr>
                                  <w:b/>
                                </w:rPr>
                                <w:t>Job Description</w:t>
                              </w:r>
                            </w:p>
                          </w:txbxContent>
                        </v:textbox>
                      </v:rect>
                      <v:rect id="Rectangle 17" o:spid="_x0000_s1028" style="position:absolute;left:185;top:10460;width:610;height:19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" filled="f" stroked="f">
                        <v:textbox inset="0,0,0,0">
                          <w:txbxContent>
                            <w:p w14:paraId="5C58DEF9" w14:textId="77777777" w:rsidR="00CB6202" w:rsidRDefault="00F0122C">
                              <w:pPr>
                                <w:spacing w:after="160" w:line="259" w:lineRule="auto"/>
                                <w:ind w:left="0" w:firstLine="0"/>
                              </w:pPr>
                              <w:r>
                                <w:rPr>
                                  <w:b/>
                                </w:rPr>
                                <w:t xml:space="preserve"> </w:t>
                              </w:r>
                            </w:p>
                          </w:txbxContent>
                        </v:textbox>
                      </v:rect>
                      <w10:anchorlock/>
                    </v:group>
                  </w:pict>
                </mc:Fallback>
              </mc:AlternateContent>
            </w:r>
          </w:p>
        </w:tc>
      </w:tr>
    </w:tbl>
    <w:p w14:paraId="1F7619E9" w14:textId="77777777" w:rsidR="00CB6202" w:rsidRDefault="00F0122C">
      <w:pPr>
        <w:spacing w:line="259" w:lineRule="auto"/>
        <w:ind w:left="0" w:firstLine="0"/>
      </w:pPr>
      <w:r>
        <w:rPr>
          <w:rFonts w:ascii="Arial" w:eastAsia="Arial" w:hAnsi="Arial" w:cs="Arial"/>
        </w:rPr>
        <w:t xml:space="preserve"> </w:t>
      </w:r>
    </w:p>
    <w:tbl>
      <w:tblPr>
        <w:tblStyle w:val="TableGrid"/>
        <w:tblW w:w="10956" w:type="dxa"/>
        <w:tblInd w:w="-108" w:type="dxa"/>
        <w:tblCellMar>
          <w:top w:w="53" w:type="dxa"/>
          <w:left w:w="108" w:type="dxa"/>
          <w:bottom w:w="0" w:type="dxa"/>
          <w:right w:w="115" w:type="dxa"/>
        </w:tblCellMar>
        <w:tblLook w:val="04A0" w:firstRow="1" w:lastRow="0" w:firstColumn="1" w:lastColumn="0" w:noHBand="0" w:noVBand="1"/>
      </w:tblPr>
      <w:tblGrid>
        <w:gridCol w:w="10956"/>
      </w:tblGrid>
      <w:tr w:rsidR="00CB6202" w14:paraId="6ED4CA0A" w14:textId="77777777">
        <w:trPr>
          <w:trHeight w:val="3435"/>
        </w:trPr>
        <w:tc>
          <w:tcPr>
            <w:tcW w:w="10956" w:type="dxa"/>
            <w:tcBorders>
              <w:top w:val="single" w:sz="4" w:space="0" w:color="000000"/>
              <w:left w:val="single" w:sz="4" w:space="0" w:color="000000"/>
              <w:bottom w:val="single" w:sz="4" w:space="0" w:color="000000"/>
              <w:right w:val="single" w:sz="4" w:space="0" w:color="000000"/>
            </w:tcBorders>
          </w:tcPr>
          <w:p w14:paraId="10CCBCB7" w14:textId="77777777" w:rsidR="00CB6202" w:rsidRDefault="00F0122C">
            <w:pPr>
              <w:spacing w:after="32" w:line="259" w:lineRule="auto"/>
              <w:ind w:left="0" w:firstLine="0"/>
            </w:pPr>
            <w:r>
              <w:rPr>
                <w:b/>
              </w:rPr>
              <w:t xml:space="preserve">Purpose of the post: </w:t>
            </w:r>
          </w:p>
          <w:p w14:paraId="19706D62" w14:textId="77777777" w:rsidR="00CB6202" w:rsidRDefault="00F0122C" w:rsidP="00F36D7E">
            <w:pPr>
              <w:numPr>
                <w:ilvl w:val="0"/>
                <w:numId w:val="1"/>
              </w:numPr>
              <w:ind w:hanging="360"/>
            </w:pPr>
            <w:r>
              <w:t xml:space="preserve">To work as a key part of the established Action Together Community Wellbeing Programme, as part of an honorary contract with Primary Care Network and their constituent practices. </w:t>
            </w:r>
          </w:p>
          <w:p w14:paraId="09210539" w14:textId="77777777" w:rsidR="00CB6202" w:rsidRDefault="00F0122C" w:rsidP="00F36D7E">
            <w:pPr>
              <w:numPr>
                <w:ilvl w:val="0"/>
                <w:numId w:val="1"/>
              </w:numPr>
              <w:ind w:hanging="360"/>
            </w:pPr>
            <w:r>
              <w:t>To support people in Tameside to play a more active role in managing their h</w:t>
            </w:r>
            <w:r>
              <w:t xml:space="preserve">ealth and wellbeing by accessing community-based provision that improves their community connections &amp; supports them to improve their personal resilience.  </w:t>
            </w:r>
          </w:p>
          <w:p w14:paraId="52D20D29" w14:textId="77777777" w:rsidR="00CB6202" w:rsidRDefault="00F0122C" w:rsidP="00F36D7E">
            <w:pPr>
              <w:numPr>
                <w:ilvl w:val="0"/>
                <w:numId w:val="1"/>
              </w:numPr>
              <w:ind w:hanging="360"/>
            </w:pPr>
            <w:r>
              <w:t>To work closely with Primary Care to bridge the gap between clinical services and social prescribin</w:t>
            </w:r>
            <w:r>
              <w:t xml:space="preserve">g.  </w:t>
            </w:r>
          </w:p>
          <w:p w14:paraId="5F4FB33C" w14:textId="77777777" w:rsidR="00CB6202" w:rsidRDefault="00F0122C" w:rsidP="00F36D7E">
            <w:pPr>
              <w:numPr>
                <w:ilvl w:val="0"/>
                <w:numId w:val="1"/>
              </w:numPr>
              <w:ind w:hanging="360"/>
            </w:pPr>
            <w:r>
              <w:t xml:space="preserve">To manage a caseload of clients referred into the service by health &amp; social care professionals.  </w:t>
            </w:r>
          </w:p>
          <w:p w14:paraId="0F9C00BB" w14:textId="77777777" w:rsidR="00CB6202" w:rsidRDefault="00F0122C" w:rsidP="00F36D7E">
            <w:pPr>
              <w:numPr>
                <w:ilvl w:val="0"/>
                <w:numId w:val="1"/>
              </w:numPr>
              <w:spacing w:line="259" w:lineRule="auto"/>
              <w:ind w:hanging="360"/>
            </w:pPr>
            <w:r>
              <w:t xml:space="preserve">To hold clinics in each of the GP practices to meet with potential clients referred from the practice and carry out home/community visits as required with those clients. </w:t>
            </w:r>
          </w:p>
        </w:tc>
      </w:tr>
    </w:tbl>
    <w:p w14:paraId="7457E61A" w14:textId="2E81F6F5" w:rsidR="00CB6202" w:rsidRDefault="00CB6202">
      <w:pPr>
        <w:spacing w:line="259" w:lineRule="auto"/>
        <w:ind w:left="0" w:firstLine="0"/>
      </w:pPr>
    </w:p>
    <w:tbl>
      <w:tblPr>
        <w:tblStyle w:val="TableGrid0"/>
        <w:tblW w:w="10959" w:type="dxa"/>
        <w:tblInd w:w="-147" w:type="dxa"/>
        <w:tblLook w:val="04A0" w:firstRow="1" w:lastRow="0" w:firstColumn="1" w:lastColumn="0" w:noHBand="0" w:noVBand="1"/>
      </w:tblPr>
      <w:tblGrid>
        <w:gridCol w:w="10959"/>
      </w:tblGrid>
      <w:tr w:rsidR="00F36D7E" w14:paraId="552A3AFB" w14:textId="77777777" w:rsidTr="00F36D7E">
        <w:trPr>
          <w:trHeight w:val="3196"/>
        </w:trPr>
        <w:tc>
          <w:tcPr>
            <w:tcW w:w="10959" w:type="dxa"/>
          </w:tcPr>
          <w:p w14:paraId="6BBF2A97" w14:textId="77777777" w:rsidR="00F36D7E" w:rsidRDefault="00F36D7E" w:rsidP="00F36D7E">
            <w:pPr>
              <w:spacing w:after="32" w:line="259" w:lineRule="auto"/>
              <w:ind w:left="0" w:firstLine="0"/>
            </w:pPr>
            <w:r>
              <w:rPr>
                <w:b/>
              </w:rPr>
              <w:t xml:space="preserve">Specific requirements for this role: </w:t>
            </w:r>
          </w:p>
          <w:p w14:paraId="1FD1C59D" w14:textId="77777777" w:rsidR="00F36D7E" w:rsidRDefault="00F36D7E" w:rsidP="00F36D7E">
            <w:pPr>
              <w:numPr>
                <w:ilvl w:val="0"/>
                <w:numId w:val="2"/>
              </w:numPr>
              <w:ind w:hanging="360"/>
            </w:pPr>
            <w:r>
              <w:t xml:space="preserve">To develop excellent working relationships and practices with the PCN teams, wider </w:t>
            </w:r>
            <w:proofErr w:type="gramStart"/>
            <w:r>
              <w:t>health</w:t>
            </w:r>
            <w:proofErr w:type="gramEnd"/>
            <w:r>
              <w:t xml:space="preserve"> and care system and with VCFSE groups to find appropriate solutions for people to improve their health and care, and ultimately reduce the demand on traditional public services.  </w:t>
            </w:r>
          </w:p>
          <w:p w14:paraId="4D96DB18" w14:textId="77777777" w:rsidR="00F36D7E" w:rsidRDefault="00F36D7E" w:rsidP="00F36D7E">
            <w:pPr>
              <w:numPr>
                <w:ilvl w:val="0"/>
                <w:numId w:val="2"/>
              </w:numPr>
              <w:ind w:hanging="360"/>
            </w:pPr>
            <w:r>
              <w:t xml:space="preserve">To provide a presence within the General Practices constituting a Primary Care Network, including the provision of ‘clinics’ and other approaches to capture people even before they have reached a </w:t>
            </w:r>
            <w:proofErr w:type="gramStart"/>
            <w:r>
              <w:t>GP;</w:t>
            </w:r>
            <w:proofErr w:type="gramEnd"/>
            <w:r>
              <w:t xml:space="preserve">   </w:t>
            </w:r>
          </w:p>
          <w:p w14:paraId="2F60175D" w14:textId="4B07C3F7" w:rsidR="00F36D7E" w:rsidRDefault="00F36D7E" w:rsidP="00F36D7E">
            <w:pPr>
              <w:numPr>
                <w:ilvl w:val="0"/>
                <w:numId w:val="2"/>
              </w:numPr>
              <w:spacing w:line="259" w:lineRule="auto"/>
              <w:ind w:hanging="360"/>
            </w:pPr>
            <w:r>
              <w:t xml:space="preserve">To provide representation at Network MDTs to pick up and direct new </w:t>
            </w:r>
            <w:proofErr w:type="gramStart"/>
            <w:r>
              <w:t>referrals;</w:t>
            </w:r>
            <w:proofErr w:type="gramEnd"/>
            <w:r>
              <w:t xml:space="preserve"> </w:t>
            </w:r>
          </w:p>
          <w:p w14:paraId="6250AE44" w14:textId="7088CC05" w:rsidR="00F36D7E" w:rsidRDefault="00F36D7E" w:rsidP="00F36D7E">
            <w:pPr>
              <w:numPr>
                <w:ilvl w:val="0"/>
                <w:numId w:val="2"/>
              </w:numPr>
              <w:ind w:hanging="360"/>
            </w:pPr>
            <w:r>
              <w:t xml:space="preserve">To work alongside practices to proactively identify patients who would benefit from social prescribing by, for example, analysing most frequent attenders and working with clinicians to identify those who may have social as well as medical </w:t>
            </w:r>
            <w:proofErr w:type="gramStart"/>
            <w:r>
              <w:t>needs;</w:t>
            </w:r>
            <w:proofErr w:type="gramEnd"/>
            <w:r>
              <w:t xml:space="preserve">  </w:t>
            </w:r>
          </w:p>
          <w:p w14:paraId="3817B756" w14:textId="77777777" w:rsidR="00F36D7E" w:rsidRDefault="00F36D7E" w:rsidP="00F36D7E">
            <w:pPr>
              <w:numPr>
                <w:ilvl w:val="0"/>
                <w:numId w:val="2"/>
              </w:numPr>
              <w:spacing w:line="259" w:lineRule="auto"/>
              <w:ind w:hanging="360"/>
            </w:pPr>
            <w:r>
              <w:t>To work with the Networks to establish a priority group (</w:t>
            </w:r>
            <w:proofErr w:type="gramStart"/>
            <w:r>
              <w:t>e.g.</w:t>
            </w:r>
            <w:proofErr w:type="gramEnd"/>
            <w:r>
              <w:t xml:space="preserve"> older people experiencing </w:t>
            </w:r>
          </w:p>
          <w:p w14:paraId="3064F0C2" w14:textId="368DA09A" w:rsidR="00F36D7E" w:rsidRDefault="00F36D7E" w:rsidP="00F36D7E">
            <w:pPr>
              <w:numPr>
                <w:ilvl w:val="0"/>
                <w:numId w:val="2"/>
              </w:numPr>
              <w:spacing w:line="259" w:lineRule="auto"/>
              <w:ind w:hanging="360"/>
            </w:pPr>
            <w:r>
              <w:t>frailty</w:t>
            </w:r>
            <w:proofErr w:type="gramStart"/>
            <w:r>
              <w:t>);</w:t>
            </w:r>
            <w:proofErr w:type="gramEnd"/>
            <w:r>
              <w:t xml:space="preserve">  </w:t>
            </w:r>
          </w:p>
          <w:p w14:paraId="106B0D30" w14:textId="77777777" w:rsidR="007F4D8E" w:rsidRDefault="007F4D8E" w:rsidP="007F4D8E">
            <w:pPr>
              <w:numPr>
                <w:ilvl w:val="0"/>
                <w:numId w:val="2"/>
              </w:numPr>
              <w:spacing w:line="259" w:lineRule="auto"/>
              <w:ind w:hanging="360"/>
            </w:pPr>
            <w:r>
              <w:t xml:space="preserve">Support GPs to refer </w:t>
            </w:r>
            <w:proofErr w:type="gramStart"/>
            <w:r>
              <w:t>appropriately;</w:t>
            </w:r>
            <w:proofErr w:type="gramEnd"/>
            <w:r>
              <w:t xml:space="preserve">   </w:t>
            </w:r>
          </w:p>
          <w:p w14:paraId="72570BC2" w14:textId="77777777" w:rsidR="007F4D8E" w:rsidRDefault="007F4D8E" w:rsidP="007F4D8E">
            <w:pPr>
              <w:spacing w:line="259" w:lineRule="auto"/>
              <w:ind w:left="0" w:firstLine="0"/>
            </w:pPr>
          </w:p>
          <w:p w14:paraId="2EA41B68" w14:textId="77777777" w:rsidR="00F36D7E" w:rsidRDefault="00F36D7E" w:rsidP="00F36D7E">
            <w:pPr>
              <w:numPr>
                <w:ilvl w:val="0"/>
                <w:numId w:val="2"/>
              </w:numPr>
              <w:spacing w:line="259" w:lineRule="auto"/>
              <w:ind w:hanging="360"/>
            </w:pPr>
            <w:r>
              <w:t xml:space="preserve">Provide a resource for practices to support access to community-based services for people not requiring a referral into social </w:t>
            </w:r>
            <w:proofErr w:type="gramStart"/>
            <w:r>
              <w:t>prescribing;</w:t>
            </w:r>
            <w:proofErr w:type="gramEnd"/>
            <w:r>
              <w:t xml:space="preserve">   </w:t>
            </w:r>
          </w:p>
          <w:p w14:paraId="0D01693B" w14:textId="77777777" w:rsidR="00F36D7E" w:rsidRDefault="00F36D7E" w:rsidP="00F36D7E">
            <w:pPr>
              <w:numPr>
                <w:ilvl w:val="0"/>
                <w:numId w:val="2"/>
              </w:numPr>
              <w:spacing w:after="40"/>
              <w:ind w:hanging="360"/>
            </w:pPr>
            <w:r>
              <w:t xml:space="preserve">Provide additional case management capacity to the programme, by holding a caseload of clients: </w:t>
            </w:r>
          </w:p>
          <w:p w14:paraId="0A2EAAF8" w14:textId="77777777" w:rsidR="00F36D7E" w:rsidRDefault="00F36D7E" w:rsidP="00F36D7E">
            <w:pPr>
              <w:numPr>
                <w:ilvl w:val="1"/>
                <w:numId w:val="2"/>
              </w:numPr>
              <w:spacing w:after="35" w:line="243" w:lineRule="auto"/>
              <w:ind w:right="14" w:hanging="360"/>
            </w:pPr>
            <w:r>
              <w:t xml:space="preserve">To work with people referred to the service to assess their non-medical aspirations, support needs and find suitable community-based activities and services that will help them to improve their health and wellbeing and proactively manage their own health and care. </w:t>
            </w:r>
          </w:p>
          <w:p w14:paraId="3B6197DA" w14:textId="77777777" w:rsidR="00F36D7E" w:rsidRDefault="00F36D7E" w:rsidP="00F36D7E">
            <w:pPr>
              <w:numPr>
                <w:ilvl w:val="1"/>
                <w:numId w:val="2"/>
              </w:numPr>
              <w:spacing w:after="34" w:line="256" w:lineRule="auto"/>
              <w:ind w:right="14" w:hanging="360"/>
            </w:pPr>
            <w:r>
              <w:t xml:space="preserve">Record data to monitor the progress and outcomes of individuals referred to the service via various software systems including EMIS. </w:t>
            </w:r>
          </w:p>
          <w:p w14:paraId="2A0B6308" w14:textId="77777777" w:rsidR="00F36D7E" w:rsidRDefault="00F36D7E" w:rsidP="00F36D7E">
            <w:pPr>
              <w:numPr>
                <w:ilvl w:val="0"/>
                <w:numId w:val="2"/>
              </w:numPr>
              <w:spacing w:after="57"/>
              <w:ind w:hanging="360"/>
            </w:pPr>
            <w:r>
              <w:t xml:space="preserve">To promote the funding available to support activities associated with this project and the wider Action Together offer.  </w:t>
            </w:r>
          </w:p>
          <w:p w14:paraId="11E305C5" w14:textId="77777777" w:rsidR="00F36D7E" w:rsidRDefault="00F36D7E" w:rsidP="00F36D7E">
            <w:pPr>
              <w:numPr>
                <w:ilvl w:val="0"/>
                <w:numId w:val="2"/>
              </w:numPr>
              <w:spacing w:after="57"/>
              <w:ind w:hanging="360"/>
            </w:pPr>
            <w:r>
              <w:t xml:space="preserve">To champion the ability of communities to develop their own solutions with partner agencies. </w:t>
            </w:r>
          </w:p>
          <w:p w14:paraId="4D612491" w14:textId="77777777" w:rsidR="00F36D7E" w:rsidRDefault="00F36D7E" w:rsidP="00F36D7E">
            <w:pPr>
              <w:numPr>
                <w:ilvl w:val="0"/>
                <w:numId w:val="2"/>
              </w:numPr>
              <w:spacing w:after="57"/>
              <w:ind w:hanging="360"/>
            </w:pPr>
            <w:r>
              <w:t xml:space="preserve">To champion, promote and support Action Together’s community-wellbeing programme and the wider Tameside &amp; Glossop Community Wellbeing programme throughout your working practice.  </w:t>
            </w:r>
          </w:p>
          <w:p w14:paraId="6E02FBCE" w14:textId="5EA6B314" w:rsidR="00F36D7E" w:rsidRDefault="00F36D7E" w:rsidP="00F36D7E">
            <w:pPr>
              <w:numPr>
                <w:ilvl w:val="0"/>
                <w:numId w:val="2"/>
              </w:numPr>
              <w:spacing w:line="259" w:lineRule="auto"/>
              <w:ind w:hanging="360"/>
            </w:pPr>
            <w:r>
              <w:t xml:space="preserve">To attend partnership meetings and represent the programme as required for this role. </w:t>
            </w:r>
          </w:p>
          <w:p w14:paraId="3C3100A0" w14:textId="77777777" w:rsidR="00F36D7E" w:rsidRDefault="00F36D7E" w:rsidP="00F36D7E">
            <w:pPr>
              <w:spacing w:line="259" w:lineRule="auto"/>
              <w:ind w:left="720" w:firstLine="0"/>
            </w:pPr>
          </w:p>
          <w:p w14:paraId="0382ED99" w14:textId="77777777" w:rsidR="00F36D7E" w:rsidRDefault="00F36D7E" w:rsidP="00F36D7E">
            <w:pPr>
              <w:spacing w:after="32" w:line="259" w:lineRule="auto"/>
              <w:ind w:left="0" w:firstLine="0"/>
            </w:pPr>
            <w:r>
              <w:rPr>
                <w:b/>
              </w:rPr>
              <w:t xml:space="preserve">Other duties and requirements as a member of the Action Together team </w:t>
            </w:r>
          </w:p>
          <w:p w14:paraId="50E1BF74" w14:textId="77777777" w:rsidR="00F36D7E" w:rsidRDefault="00F36D7E" w:rsidP="00F36D7E">
            <w:pPr>
              <w:numPr>
                <w:ilvl w:val="0"/>
                <w:numId w:val="3"/>
              </w:numPr>
              <w:spacing w:after="57"/>
              <w:ind w:hanging="360"/>
            </w:pPr>
            <w:r>
              <w:t xml:space="preserve">To work to Action Together’s values and contribute to the charitable objects of Action Together.  </w:t>
            </w:r>
          </w:p>
          <w:p w14:paraId="7F7A99CE" w14:textId="77777777" w:rsidR="00F36D7E" w:rsidRDefault="00F36D7E" w:rsidP="00F36D7E">
            <w:pPr>
              <w:numPr>
                <w:ilvl w:val="0"/>
                <w:numId w:val="3"/>
              </w:numPr>
              <w:spacing w:after="57"/>
              <w:ind w:hanging="360"/>
            </w:pPr>
            <w:r>
              <w:t xml:space="preserve">To work as a member of the Action Together team, and to contribute to the development of policy and good practice within Action Together. </w:t>
            </w:r>
          </w:p>
          <w:p w14:paraId="1D6B7DC8" w14:textId="77777777" w:rsidR="00F36D7E" w:rsidRDefault="00F36D7E" w:rsidP="00F36D7E">
            <w:pPr>
              <w:numPr>
                <w:ilvl w:val="0"/>
                <w:numId w:val="3"/>
              </w:numPr>
              <w:spacing w:after="57"/>
              <w:ind w:hanging="360"/>
            </w:pPr>
            <w:r>
              <w:t>To increase the membership of Action Together direct members and partners to additional areas of support from within Action Together (</w:t>
            </w:r>
            <w:proofErr w:type="gramStart"/>
            <w:r>
              <w:t>e.g.</w:t>
            </w:r>
            <w:proofErr w:type="gramEnd"/>
            <w:r>
              <w:t xml:space="preserve"> Development Service, Partnerships Service, Active Communities Service and projects). </w:t>
            </w:r>
          </w:p>
          <w:p w14:paraId="3FC52491" w14:textId="77777777" w:rsidR="00F36D7E" w:rsidRDefault="00F36D7E" w:rsidP="00F36D7E">
            <w:pPr>
              <w:numPr>
                <w:ilvl w:val="0"/>
                <w:numId w:val="3"/>
              </w:numPr>
              <w:spacing w:after="57"/>
              <w:ind w:hanging="360"/>
            </w:pPr>
            <w:r>
              <w:t xml:space="preserve">Where necessary, to undertake standalone projects that further the aims of Action Together and its membership.  </w:t>
            </w:r>
          </w:p>
          <w:p w14:paraId="0918B063" w14:textId="77777777" w:rsidR="00F36D7E" w:rsidRDefault="00F36D7E" w:rsidP="00F36D7E">
            <w:pPr>
              <w:numPr>
                <w:ilvl w:val="0"/>
                <w:numId w:val="3"/>
              </w:numPr>
              <w:spacing w:after="57"/>
              <w:ind w:hanging="360"/>
            </w:pPr>
            <w:r>
              <w:t xml:space="preserve">To keep abreast of relevant developments and/or best practice in relation to Action Together’s work and the local operating environment.    </w:t>
            </w:r>
          </w:p>
          <w:p w14:paraId="1333740C" w14:textId="77777777" w:rsidR="00F36D7E" w:rsidRDefault="00F36D7E" w:rsidP="00F36D7E">
            <w:pPr>
              <w:numPr>
                <w:ilvl w:val="0"/>
                <w:numId w:val="3"/>
              </w:numPr>
              <w:spacing w:after="57"/>
              <w:ind w:hanging="360"/>
            </w:pPr>
            <w:r>
              <w:t xml:space="preserve">To work to combat all forms of discrimination, and to ensure that the principles of equal opportunities and social justice are implemented in all work undertaken on behalf of Action Together. To promote this to other organisations we work with and to help combat discrimination, disadvantage and poverty in Oldham, </w:t>
            </w:r>
            <w:proofErr w:type="gramStart"/>
            <w:r>
              <w:t>Rochdale</w:t>
            </w:r>
            <w:proofErr w:type="gramEnd"/>
            <w:r>
              <w:t xml:space="preserve"> and Tameside.  </w:t>
            </w:r>
          </w:p>
          <w:p w14:paraId="37F7BF09" w14:textId="77777777" w:rsidR="00F36D7E" w:rsidRDefault="00F36D7E" w:rsidP="00F36D7E">
            <w:pPr>
              <w:numPr>
                <w:ilvl w:val="0"/>
                <w:numId w:val="3"/>
              </w:numPr>
              <w:spacing w:after="57"/>
              <w:ind w:hanging="360"/>
            </w:pPr>
            <w:r>
              <w:t xml:space="preserve">To carry out the above duties, and any other duties commensurate with the responsibilities of the post which may reasonably be required, in a manner which actively supports and promotes Action Together’s aims and policies.  </w:t>
            </w:r>
          </w:p>
          <w:p w14:paraId="36688B78" w14:textId="23D7E943" w:rsidR="00F36D7E" w:rsidRDefault="00F36D7E" w:rsidP="00F36D7E">
            <w:pPr>
              <w:numPr>
                <w:ilvl w:val="0"/>
                <w:numId w:val="3"/>
              </w:numPr>
              <w:spacing w:after="57"/>
              <w:ind w:hanging="360"/>
            </w:pPr>
            <w:r>
              <w:t xml:space="preserve">To ensure you deliver best practice in Safeguarding, and any safeguarding concerns are raised as per our policy.  </w:t>
            </w:r>
          </w:p>
          <w:p w14:paraId="2D1C6896" w14:textId="1BA7973A" w:rsidR="00F36D7E" w:rsidRDefault="00F36D7E" w:rsidP="00F36D7E">
            <w:pPr>
              <w:numPr>
                <w:ilvl w:val="0"/>
                <w:numId w:val="3"/>
              </w:numPr>
              <w:spacing w:after="57"/>
              <w:ind w:hanging="360"/>
            </w:pPr>
            <w:r>
              <w:t xml:space="preserve">To be responsible for own health and safety and that of colleagues, in accordance with the Health &amp; Safety at Work Act and relevant EC Directives, including reporting any health and safety hazard immediately that it becomes apparent.  </w:t>
            </w:r>
          </w:p>
          <w:p w14:paraId="4E599B46" w14:textId="77777777" w:rsidR="00F36D7E" w:rsidRPr="007F4D8E" w:rsidRDefault="00F36D7E" w:rsidP="00F36D7E">
            <w:pPr>
              <w:numPr>
                <w:ilvl w:val="0"/>
                <w:numId w:val="2"/>
              </w:numPr>
              <w:spacing w:line="259" w:lineRule="auto"/>
              <w:ind w:hanging="360"/>
              <w:rPr>
                <w:sz w:val="2"/>
                <w:szCs w:val="2"/>
              </w:rPr>
            </w:pPr>
            <w:r>
              <w:t>To work in accordance with the Data Protection Act and to ensure all Data Protection problems are reported to the Social Prescribing Programme Manager AND Finance Director.</w:t>
            </w:r>
          </w:p>
          <w:p w14:paraId="2D7DFB9B" w14:textId="50E0779D" w:rsidR="00F36D7E" w:rsidRDefault="00F36D7E" w:rsidP="00F36D7E">
            <w:pPr>
              <w:spacing w:line="259" w:lineRule="auto"/>
            </w:pPr>
          </w:p>
        </w:tc>
      </w:tr>
    </w:tbl>
    <w:p w14:paraId="4FA3C719" w14:textId="0FA75439" w:rsidR="00CB6202" w:rsidRPr="007F4D8E" w:rsidRDefault="00CB6202">
      <w:pPr>
        <w:spacing w:line="259" w:lineRule="auto"/>
        <w:ind w:left="0" w:firstLine="0"/>
        <w:rPr>
          <w:sz w:val="2"/>
          <w:szCs w:val="2"/>
        </w:rPr>
      </w:pPr>
    </w:p>
    <w:p w14:paraId="5888D004" w14:textId="77777777" w:rsidR="00F36D7E" w:rsidRPr="00F36D7E" w:rsidRDefault="00F36D7E" w:rsidP="00F36D7E">
      <w:pPr>
        <w:ind w:left="0" w:firstLine="0"/>
        <w:rPr>
          <w:sz w:val="2"/>
          <w:szCs w:val="2"/>
        </w:rPr>
      </w:pPr>
    </w:p>
    <w:sectPr w:rsidR="00F36D7E" w:rsidRPr="00F36D7E">
      <w:footerReference w:type="default" r:id="rId8"/>
      <w:pgSz w:w="11906" w:h="16838"/>
      <w:pgMar w:top="713" w:right="879" w:bottom="146" w:left="5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AC3F9" w14:textId="77777777" w:rsidR="00F0122C" w:rsidRDefault="00F0122C" w:rsidP="00F36D7E">
      <w:pPr>
        <w:spacing w:line="240" w:lineRule="auto"/>
      </w:pPr>
      <w:r>
        <w:separator/>
      </w:r>
    </w:p>
  </w:endnote>
  <w:endnote w:type="continuationSeparator" w:id="0">
    <w:p w14:paraId="7B66AA13" w14:textId="77777777" w:rsidR="00F0122C" w:rsidRDefault="00F0122C" w:rsidP="00F36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2907" w14:textId="6FF8410E" w:rsidR="00F36D7E" w:rsidRPr="007F4D8E" w:rsidRDefault="00F36D7E" w:rsidP="00F36D7E">
    <w:pPr>
      <w:pStyle w:val="Footer"/>
      <w:ind w:left="0" w:firstLine="0"/>
      <w:rPr>
        <w:sz w:val="2"/>
        <w:szCs w:val="2"/>
      </w:rPr>
    </w:pPr>
  </w:p>
  <w:p w14:paraId="26B57D44" w14:textId="77777777" w:rsidR="00F36D7E" w:rsidRPr="007F4D8E" w:rsidRDefault="00F36D7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1A0E" w14:textId="77777777" w:rsidR="00F0122C" w:rsidRDefault="00F0122C" w:rsidP="00F36D7E">
      <w:pPr>
        <w:spacing w:line="240" w:lineRule="auto"/>
      </w:pPr>
      <w:r>
        <w:separator/>
      </w:r>
    </w:p>
  </w:footnote>
  <w:footnote w:type="continuationSeparator" w:id="0">
    <w:p w14:paraId="322E106C" w14:textId="77777777" w:rsidR="00F0122C" w:rsidRDefault="00F0122C" w:rsidP="00F36D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85A33"/>
    <w:multiLevelType w:val="hybridMultilevel"/>
    <w:tmpl w:val="4644F668"/>
    <w:lvl w:ilvl="0" w:tplc="8098CC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E715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75A64C2">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3C3FD4">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1E4608">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DA222F4">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3DC5360">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D459AE">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FAEF872">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DD0252"/>
    <w:multiLevelType w:val="hybridMultilevel"/>
    <w:tmpl w:val="48DCA2D4"/>
    <w:lvl w:ilvl="0" w:tplc="3D8207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A21BB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C673F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E433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8AAE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4298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9EBDA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4135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CAB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813AA9"/>
    <w:multiLevelType w:val="hybridMultilevel"/>
    <w:tmpl w:val="5408455E"/>
    <w:lvl w:ilvl="0" w:tplc="8062A4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10FB2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96048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20732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5085C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7A501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2AC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E45B4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4E2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02"/>
    <w:rsid w:val="007F4D8E"/>
    <w:rsid w:val="00CB6202"/>
    <w:rsid w:val="00F0122C"/>
    <w:rsid w:val="00F3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1DB61"/>
  <w15:docId w15:val="{68FB240B-6D72-43E0-A0B5-E1F724B2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8"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3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D7E"/>
    <w:pPr>
      <w:tabs>
        <w:tab w:val="center" w:pos="4513"/>
        <w:tab w:val="right" w:pos="9026"/>
      </w:tabs>
      <w:spacing w:line="240" w:lineRule="auto"/>
    </w:pPr>
  </w:style>
  <w:style w:type="character" w:customStyle="1" w:styleId="HeaderChar">
    <w:name w:val="Header Char"/>
    <w:basedOn w:val="DefaultParagraphFont"/>
    <w:link w:val="Header"/>
    <w:uiPriority w:val="99"/>
    <w:rsid w:val="00F36D7E"/>
    <w:rPr>
      <w:rFonts w:ascii="Trebuchet MS" w:eastAsia="Trebuchet MS" w:hAnsi="Trebuchet MS" w:cs="Trebuchet MS"/>
      <w:color w:val="000000"/>
      <w:sz w:val="24"/>
    </w:rPr>
  </w:style>
  <w:style w:type="paragraph" w:styleId="Footer">
    <w:name w:val="footer"/>
    <w:basedOn w:val="Normal"/>
    <w:link w:val="FooterChar"/>
    <w:uiPriority w:val="99"/>
    <w:unhideWhenUsed/>
    <w:rsid w:val="00F36D7E"/>
    <w:pPr>
      <w:tabs>
        <w:tab w:val="center" w:pos="4513"/>
        <w:tab w:val="right" w:pos="9026"/>
      </w:tabs>
      <w:spacing w:line="240" w:lineRule="auto"/>
    </w:pPr>
  </w:style>
  <w:style w:type="character" w:customStyle="1" w:styleId="FooterChar">
    <w:name w:val="Footer Char"/>
    <w:basedOn w:val="DefaultParagraphFont"/>
    <w:link w:val="Footer"/>
    <w:uiPriority w:val="99"/>
    <w:rsid w:val="00F36D7E"/>
    <w:rPr>
      <w:rFonts w:ascii="Trebuchet MS" w:eastAsia="Trebuchet MS" w:hAnsi="Trebuchet MS" w:cs="Trebuchet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Voluntary Action Oldham</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Oldham</dc:title>
  <dc:subject>Factsheets</dc:subject>
  <dc:creator>"lizwindsor-welsh"</dc:creator>
  <cp:keywords/>
  <cp:lastModifiedBy>Laura Hynes</cp:lastModifiedBy>
  <cp:revision>2</cp:revision>
  <dcterms:created xsi:type="dcterms:W3CDTF">2020-12-17T12:50:00Z</dcterms:created>
  <dcterms:modified xsi:type="dcterms:W3CDTF">2020-12-17T12:50:00Z</dcterms:modified>
</cp:coreProperties>
</file>