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37" w:rsidRPr="0017519F" w:rsidRDefault="00051737" w:rsidP="00051737">
      <w:pPr>
        <w:pStyle w:val="NormalWeb"/>
        <w:spacing w:after="120" w:afterAutospacing="0" w:line="276" w:lineRule="auto"/>
        <w:rPr>
          <w:rFonts w:ascii="Trebuchet MS" w:hAnsi="Trebuchet MS" w:cs="Calibri"/>
          <w:color w:val="292A4D"/>
          <w:sz w:val="32"/>
        </w:rPr>
      </w:pPr>
    </w:p>
    <w:p w:rsidR="00F82B2B" w:rsidRPr="0017519F" w:rsidRDefault="00051737" w:rsidP="00051737">
      <w:pPr>
        <w:pStyle w:val="NormalWeb"/>
        <w:spacing w:after="120" w:afterAutospacing="0" w:line="276" w:lineRule="auto"/>
        <w:rPr>
          <w:rFonts w:ascii="Trebuchet MS" w:hAnsi="Trebuchet MS" w:cs="Calibri"/>
          <w:color w:val="323E4F" w:themeColor="text2" w:themeShade="BF"/>
          <w:sz w:val="32"/>
          <w:szCs w:val="32"/>
        </w:rPr>
      </w:pPr>
      <w:r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 xml:space="preserve">2 </w:t>
      </w:r>
      <w:r w:rsidR="00F63F8A"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>Day Workshop</w:t>
      </w:r>
      <w:r w:rsidR="00F82B2B"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 xml:space="preserve"> in Person Centred</w:t>
      </w:r>
      <w:r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 xml:space="preserve"> Coaching</w:t>
      </w:r>
      <w:r w:rsidR="00F82B2B"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>:</w:t>
      </w:r>
    </w:p>
    <w:p w:rsidR="00051737" w:rsidRPr="0017519F" w:rsidRDefault="00F82B2B" w:rsidP="00051737">
      <w:pPr>
        <w:pStyle w:val="NormalWeb"/>
        <w:spacing w:after="120" w:afterAutospacing="0" w:line="276" w:lineRule="auto"/>
        <w:rPr>
          <w:rFonts w:ascii="Trebuchet MS" w:hAnsi="Trebuchet MS" w:cs="Calibri"/>
          <w:color w:val="323E4F" w:themeColor="text2" w:themeShade="BF"/>
          <w:sz w:val="32"/>
          <w:szCs w:val="32"/>
        </w:rPr>
      </w:pPr>
      <w:r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 xml:space="preserve">Free </w:t>
      </w:r>
      <w:r w:rsidR="00051737"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>Skills Development</w:t>
      </w:r>
      <w:r w:rsidRPr="0017519F">
        <w:rPr>
          <w:rFonts w:ascii="Trebuchet MS" w:hAnsi="Trebuchet MS" w:cs="Calibri"/>
          <w:color w:val="323E4F" w:themeColor="text2" w:themeShade="BF"/>
          <w:sz w:val="32"/>
          <w:szCs w:val="32"/>
        </w:rPr>
        <w:t xml:space="preserve"> for the frontline workforce in Tameside &amp; Glossop</w:t>
      </w:r>
    </w:p>
    <w:p w:rsidR="00051737" w:rsidRPr="0017519F" w:rsidRDefault="00051737" w:rsidP="00051737">
      <w:pPr>
        <w:ind w:right="168"/>
        <w:rPr>
          <w:rFonts w:ascii="Trebuchet MS" w:hAnsi="Trebuchet MS"/>
          <w:b/>
          <w:color w:val="323E4F" w:themeColor="text2" w:themeShade="BF"/>
        </w:rPr>
      </w:pPr>
      <w:r w:rsidRPr="0017519F">
        <w:rPr>
          <w:rFonts w:ascii="Trebuchet MS" w:hAnsi="Trebuchet MS"/>
          <w:noProof/>
          <w:color w:val="323E4F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EDF6" wp14:editId="11AED8E7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6655139" cy="1466850"/>
                <wp:effectExtent l="0" t="0" r="12700" b="1905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139" cy="146685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19050">
                          <a:solidFill>
                            <a:srgbClr val="FF9100"/>
                          </a:solidFill>
                        </a:ln>
                      </wps:spPr>
                      <wps:txbx>
                        <w:txbxContent>
                          <w:p w:rsidR="0017519F" w:rsidRPr="0017519F" w:rsidRDefault="0017519F" w:rsidP="0017519F">
                            <w:pPr>
                              <w:spacing w:after="160" w:line="259" w:lineRule="auto"/>
                              <w:rPr>
                                <w:rFonts w:ascii="Trebuchet MS" w:eastAsia="Trebuchet MS" w:hAnsi="Trebuchet MS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7519F">
                              <w:rPr>
                                <w:rFonts w:ascii="Trebuchet MS" w:eastAsia="Trebuchet MS" w:hAnsi="Trebuchet MS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Excited by the prospect of having a different kind of conversation with individuals that leads to better outcomes for the person?</w:t>
                            </w:r>
                          </w:p>
                          <w:p w:rsidR="0017519F" w:rsidRPr="0017519F" w:rsidRDefault="0017519F" w:rsidP="0017519F">
                            <w:pPr>
                              <w:spacing w:after="160" w:line="259" w:lineRule="auto"/>
                              <w:rPr>
                                <w:rFonts w:ascii="Trebuchet MS" w:eastAsia="Trebuchet MS" w:hAnsi="Trebuchet MS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7519F">
                              <w:rPr>
                                <w:rFonts w:ascii="Trebuchet MS" w:eastAsia="Trebuchet MS" w:hAnsi="Trebuchet MS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Interested in how person centred coaching can lead to more satisfying contacts for both individuals and practitioners?</w:t>
                            </w:r>
                          </w:p>
                          <w:p w:rsidR="0017519F" w:rsidRPr="0017519F" w:rsidRDefault="0017519F" w:rsidP="0017519F">
                            <w:pPr>
                              <w:spacing w:after="160" w:line="259" w:lineRule="auto"/>
                              <w:rPr>
                                <w:rFonts w:ascii="Trebuchet MS" w:eastAsia="Trebuchet MS" w:hAnsi="Trebuchet MS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7519F">
                              <w:rPr>
                                <w:rFonts w:ascii="Trebuchet MS" w:eastAsia="Trebuchet MS" w:hAnsi="Trebuchet MS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Join us for this stimulating tried, tested and evidence based 2 day workshop, developed by TPC Health (leaders in UK coaching).</w:t>
                            </w:r>
                          </w:p>
                          <w:p w:rsidR="00051737" w:rsidRPr="001362B3" w:rsidRDefault="00051737" w:rsidP="0005173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color w:val="292A4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72000" tIns="36000" rIns="72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EDF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.8pt;margin-top:4.5pt;width:524.0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" fillcolor="#ffc" strokecolor="#ff9100" strokeweight="1.5pt">
                <v:fill opacity="26214f"/>
                <v:textbox inset="2mm,1mm,2mm,1mm">
                  <w:txbxContent>
                    <w:p w:rsidR="0017519F" w:rsidRPr="0017519F" w:rsidRDefault="0017519F" w:rsidP="0017519F">
                      <w:pPr>
                        <w:spacing w:after="160" w:line="259" w:lineRule="auto"/>
                        <w:rPr>
                          <w:rFonts w:ascii="Trebuchet MS" w:eastAsia="Trebuchet MS" w:hAnsi="Trebuchet MS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7519F">
                        <w:rPr>
                          <w:rFonts w:ascii="Trebuchet MS" w:eastAsia="Trebuchet MS" w:hAnsi="Trebuchet MS" w:cs="Arial"/>
                          <w:color w:val="222A35" w:themeColor="text2" w:themeShade="80"/>
                          <w:sz w:val="24"/>
                          <w:szCs w:val="24"/>
                        </w:rPr>
                        <w:t>Excited by the prospect of having a different kind of conversation with individuals that leads to better outcomes for the person?</w:t>
                      </w:r>
                    </w:p>
                    <w:p w:rsidR="0017519F" w:rsidRPr="0017519F" w:rsidRDefault="0017519F" w:rsidP="0017519F">
                      <w:pPr>
                        <w:spacing w:after="160" w:line="259" w:lineRule="auto"/>
                        <w:rPr>
                          <w:rFonts w:ascii="Trebuchet MS" w:eastAsia="Trebuchet MS" w:hAnsi="Trebuchet MS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7519F">
                        <w:rPr>
                          <w:rFonts w:ascii="Trebuchet MS" w:eastAsia="Trebuchet MS" w:hAnsi="Trebuchet MS" w:cs="Arial"/>
                          <w:color w:val="222A35" w:themeColor="text2" w:themeShade="80"/>
                          <w:sz w:val="24"/>
                          <w:szCs w:val="24"/>
                        </w:rPr>
                        <w:t>Interested in how person centred coaching can lead to more satisfying contacts for both individuals and practitioners?</w:t>
                      </w:r>
                    </w:p>
                    <w:p w:rsidR="0017519F" w:rsidRPr="0017519F" w:rsidRDefault="0017519F" w:rsidP="0017519F">
                      <w:pPr>
                        <w:spacing w:after="160" w:line="259" w:lineRule="auto"/>
                        <w:rPr>
                          <w:rFonts w:ascii="Trebuchet MS" w:eastAsia="Trebuchet MS" w:hAnsi="Trebuchet MS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7519F">
                        <w:rPr>
                          <w:rFonts w:ascii="Trebuchet MS" w:eastAsia="Trebuchet MS" w:hAnsi="Trebuchet MS" w:cs="Arial"/>
                          <w:color w:val="222A35" w:themeColor="text2" w:themeShade="80"/>
                          <w:sz w:val="24"/>
                          <w:szCs w:val="24"/>
                        </w:rPr>
                        <w:t>Join us for this stimulating tried, tested and evidence based 2 day workshop, developed by TPC Health (leaders in UK coaching).</w:t>
                      </w:r>
                    </w:p>
                    <w:p w:rsidR="00051737" w:rsidRPr="001362B3" w:rsidRDefault="00051737" w:rsidP="0005173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color w:val="292A4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737" w:rsidRPr="0017519F" w:rsidRDefault="00051737" w:rsidP="00051737">
      <w:pPr>
        <w:ind w:right="168"/>
        <w:rPr>
          <w:rFonts w:ascii="Trebuchet MS" w:hAnsi="Trebuchet MS"/>
          <w:b/>
          <w:color w:val="323E4F" w:themeColor="text2" w:themeShade="BF"/>
        </w:rPr>
      </w:pPr>
    </w:p>
    <w:p w:rsidR="00051737" w:rsidRPr="0017519F" w:rsidRDefault="00051737" w:rsidP="00051737">
      <w:pPr>
        <w:spacing w:after="0"/>
        <w:ind w:right="168"/>
        <w:jc w:val="both"/>
        <w:rPr>
          <w:rFonts w:ascii="Trebuchet MS" w:hAnsi="Trebuchet MS" w:cstheme="minorHAnsi"/>
          <w:bCs/>
          <w:color w:val="323E4F" w:themeColor="text2" w:themeShade="BF"/>
        </w:rPr>
      </w:pPr>
    </w:p>
    <w:p w:rsidR="00051737" w:rsidRPr="0017519F" w:rsidRDefault="00051737" w:rsidP="00051737">
      <w:pPr>
        <w:spacing w:after="0"/>
        <w:ind w:right="168"/>
        <w:jc w:val="both"/>
        <w:rPr>
          <w:rFonts w:ascii="Trebuchet MS" w:hAnsi="Trebuchet MS" w:cstheme="minorHAnsi"/>
          <w:bCs/>
          <w:color w:val="323E4F" w:themeColor="text2" w:themeShade="BF"/>
        </w:rPr>
      </w:pPr>
    </w:p>
    <w:p w:rsidR="0017519F" w:rsidRPr="0017519F" w:rsidRDefault="0017519F" w:rsidP="00926E1A">
      <w:pPr>
        <w:jc w:val="both"/>
        <w:rPr>
          <w:rFonts w:ascii="Trebuchet MS" w:hAnsi="Trebuchet MS" w:cs="Calibri"/>
          <w:b/>
          <w:color w:val="323E4F" w:themeColor="text2" w:themeShade="BF"/>
          <w:sz w:val="24"/>
          <w:szCs w:val="24"/>
        </w:rPr>
      </w:pPr>
    </w:p>
    <w:p w:rsidR="0017519F" w:rsidRPr="0017519F" w:rsidRDefault="0017519F" w:rsidP="00926E1A">
      <w:pPr>
        <w:jc w:val="both"/>
        <w:rPr>
          <w:rFonts w:ascii="Trebuchet MS" w:hAnsi="Trebuchet MS" w:cs="Calibri"/>
          <w:b/>
          <w:color w:val="323E4F" w:themeColor="text2" w:themeShade="BF"/>
          <w:sz w:val="24"/>
          <w:szCs w:val="24"/>
        </w:rPr>
      </w:pPr>
    </w:p>
    <w:p w:rsidR="00926E1A" w:rsidRPr="009460ED" w:rsidRDefault="00926E1A" w:rsidP="00926E1A">
      <w:pPr>
        <w:jc w:val="both"/>
        <w:rPr>
          <w:rFonts w:ascii="Trebuchet MS" w:hAnsi="Trebuchet MS" w:cs="Calibri"/>
          <w:color w:val="323E4F" w:themeColor="text2" w:themeShade="BF"/>
          <w:sz w:val="24"/>
          <w:szCs w:val="24"/>
        </w:rPr>
      </w:pPr>
      <w:r w:rsidRPr="009460ED">
        <w:rPr>
          <w:rFonts w:ascii="Trebuchet MS" w:hAnsi="Trebuchet MS" w:cs="Calibri"/>
          <w:b/>
          <w:color w:val="323E4F" w:themeColor="text2" w:themeShade="BF"/>
          <w:sz w:val="24"/>
          <w:szCs w:val="24"/>
        </w:rPr>
        <w:t>Focus:</w:t>
      </w:r>
    </w:p>
    <w:p w:rsidR="00926E1A" w:rsidRPr="009460ED" w:rsidRDefault="00926E1A" w:rsidP="00F63F8A">
      <w:pPr>
        <w:ind w:right="283"/>
        <w:jc w:val="both"/>
        <w:rPr>
          <w:rFonts w:ascii="Trebuchet MS" w:hAnsi="Trebuchet MS" w:cs="Calibri"/>
          <w:color w:val="323E4F" w:themeColor="text2" w:themeShade="BF"/>
          <w:sz w:val="24"/>
          <w:szCs w:val="24"/>
        </w:rPr>
      </w:pP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This two day w</w:t>
      </w:r>
      <w:r w:rsidR="000850BA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orkshop will enable you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to unders</w:t>
      </w:r>
      <w:r w:rsidR="000850BA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tand how person centred coaching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can be used in 1:1 conversations</w:t>
      </w:r>
      <w:r w:rsidR="000850BA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and consultations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to enhance personali</w:t>
      </w:r>
      <w:r w:rsidR="000850BA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sed care.   It will support you 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to use a range of approaches, techniques and practical s</w:t>
      </w:r>
      <w:r w:rsidR="000850BA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kills that facilitate more person centred, goal orientated 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conversations.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 </w:t>
      </w:r>
      <w:r w:rsidR="0008756E" w:rsidRPr="009460ED">
        <w:rPr>
          <w:rFonts w:ascii="Trebuchet MS" w:hAnsi="Trebuchet MS" w:cs="Frutiger-Bold"/>
          <w:bCs/>
          <w:color w:val="292A4D"/>
          <w:sz w:val="24"/>
          <w:szCs w:val="24"/>
        </w:rPr>
        <w:t>Person centred coaching sees people as truly resourceful, as an equal, and as the holders of the solutions to the challenges that they face.</w:t>
      </w:r>
    </w:p>
    <w:p w:rsidR="00C55EF8" w:rsidRPr="009460ED" w:rsidRDefault="000850BA" w:rsidP="00C55EF8">
      <w:pPr>
        <w:jc w:val="both"/>
        <w:rPr>
          <w:rFonts w:ascii="Trebuchet MS" w:hAnsi="Trebuchet MS" w:cs="Calibri"/>
          <w:b/>
          <w:color w:val="323E4F" w:themeColor="text2" w:themeShade="BF"/>
          <w:sz w:val="24"/>
          <w:szCs w:val="24"/>
        </w:rPr>
      </w:pPr>
      <w:r w:rsidRPr="009460ED">
        <w:rPr>
          <w:rFonts w:ascii="Trebuchet MS" w:hAnsi="Trebuchet MS" w:cs="Calibri"/>
          <w:b/>
          <w:color w:val="323E4F" w:themeColor="text2" w:themeShade="BF"/>
          <w:sz w:val="24"/>
          <w:szCs w:val="24"/>
        </w:rPr>
        <w:t>Who is it for?</w:t>
      </w:r>
    </w:p>
    <w:p w:rsidR="00C55EF8" w:rsidRPr="00DF7C60" w:rsidRDefault="00F63F8A" w:rsidP="00DF7C60">
      <w:pPr>
        <w:jc w:val="both"/>
        <w:rPr>
          <w:rFonts w:ascii="Trebuchet MS" w:hAnsi="Trebuchet MS" w:cs="Calibri"/>
          <w:color w:val="323E4F" w:themeColor="text2" w:themeShade="BF"/>
          <w:sz w:val="24"/>
          <w:szCs w:val="24"/>
        </w:rPr>
      </w:pP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The course is provided </w:t>
      </w:r>
      <w:r w:rsidRPr="009460ED">
        <w:rPr>
          <w:rFonts w:ascii="Trebuchet MS" w:hAnsi="Trebuchet MS" w:cs="Calibri"/>
          <w:b/>
          <w:color w:val="323E4F" w:themeColor="text2" w:themeShade="BF"/>
          <w:sz w:val="24"/>
          <w:szCs w:val="24"/>
        </w:rPr>
        <w:t>free of charge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by Tameside and Glossop Integrated Care NHS Foundation Trust and is open to a</w:t>
      </w:r>
      <w:r w:rsidR="000850BA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nyone working or volunteering in Tameside and Glossop 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who has a 1:1 person facing role. Those with roles in health or social care settings, working in the statutory or voluntary sectors w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ill find it particularly useful, e.g. key workers,</w:t>
      </w:r>
      <w:r w:rsidR="00F34AE2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nurses,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peer supporters, </w:t>
      </w:r>
      <w:r w:rsidR="004048C9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clinicians, social workers, 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care </w:t>
      </w:r>
      <w:r w:rsidR="00623C7B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workers and care 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co-ordinators, </w:t>
      </w:r>
      <w:r w:rsidR="004048C9">
        <w:rPr>
          <w:rFonts w:ascii="Trebuchet MS" w:hAnsi="Trebuchet MS" w:cs="Calibri"/>
          <w:color w:val="323E4F" w:themeColor="text2" w:themeShade="BF"/>
          <w:sz w:val="24"/>
          <w:szCs w:val="24"/>
        </w:rPr>
        <w:t>nurses</w:t>
      </w:r>
      <w:r w:rsidR="004C20EC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, 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>social prescribers,</w:t>
      </w:r>
      <w:r w:rsidR="000134DF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HCAs,</w:t>
      </w:r>
      <w:r w:rsidR="0008756E"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advice and support roles.</w:t>
      </w:r>
      <w:r w:rsidRPr="009460ED">
        <w:rPr>
          <w:rFonts w:ascii="Trebuchet MS" w:hAnsi="Trebuchet MS" w:cs="Calibri"/>
          <w:color w:val="323E4F" w:themeColor="text2" w:themeShade="BF"/>
          <w:sz w:val="24"/>
          <w:szCs w:val="24"/>
        </w:rPr>
        <w:t xml:space="preserve"> </w:t>
      </w:r>
    </w:p>
    <w:p w:rsidR="00051737" w:rsidRDefault="00051737" w:rsidP="00051737">
      <w:pPr>
        <w:spacing w:after="0"/>
        <w:ind w:right="168"/>
        <w:jc w:val="both"/>
        <w:rPr>
          <w:rFonts w:ascii="Trebuchet MS" w:hAnsi="Trebuchet MS" w:cstheme="minorHAnsi"/>
          <w:b/>
          <w:bCs/>
          <w:color w:val="292A4D"/>
        </w:rPr>
      </w:pPr>
    </w:p>
    <w:p w:rsidR="00051737" w:rsidRPr="00B504DF" w:rsidRDefault="00051737" w:rsidP="00051737">
      <w:pPr>
        <w:spacing w:after="0"/>
        <w:ind w:right="168"/>
        <w:jc w:val="both"/>
        <w:rPr>
          <w:rFonts w:ascii="Trebuchet MS" w:hAnsi="Trebuchet MS" w:cstheme="minorHAnsi"/>
          <w:b/>
          <w:bCs/>
          <w:color w:val="292A4D"/>
        </w:rPr>
      </w:pPr>
      <w:r w:rsidRPr="00B504DF">
        <w:rPr>
          <w:rFonts w:ascii="Trebuchet MS" w:hAnsi="Trebuchet MS" w:cstheme="minorHAnsi"/>
          <w:b/>
          <w:bCs/>
          <w:color w:val="292A4D"/>
        </w:rPr>
        <w:t>What is</w:t>
      </w:r>
      <w:r w:rsidR="006E010B">
        <w:rPr>
          <w:rFonts w:ascii="Trebuchet MS" w:hAnsi="Trebuchet MS" w:cstheme="minorHAnsi"/>
          <w:b/>
          <w:bCs/>
          <w:color w:val="292A4D"/>
        </w:rPr>
        <w:t xml:space="preserve"> Person Centred Coaching</w:t>
      </w:r>
      <w:r w:rsidRPr="00B504DF">
        <w:rPr>
          <w:rFonts w:ascii="Trebuchet MS" w:hAnsi="Trebuchet MS" w:cstheme="minorHAnsi"/>
          <w:b/>
          <w:bCs/>
          <w:color w:val="292A4D"/>
        </w:rPr>
        <w:t>?</w:t>
      </w:r>
    </w:p>
    <w:p w:rsidR="00051737" w:rsidRPr="004C20EC" w:rsidRDefault="00051737" w:rsidP="00051737">
      <w:pPr>
        <w:spacing w:after="0"/>
        <w:ind w:right="168"/>
        <w:jc w:val="both"/>
        <w:rPr>
          <w:rFonts w:ascii="Trebuchet MS" w:hAnsi="Trebuchet MS" w:cstheme="minorHAnsi"/>
          <w:bCs/>
          <w:color w:val="292A4D"/>
          <w:sz w:val="24"/>
          <w:szCs w:val="24"/>
        </w:rPr>
      </w:pPr>
    </w:p>
    <w:p w:rsidR="00051737" w:rsidRPr="004C20EC" w:rsidRDefault="006E010B" w:rsidP="00051737">
      <w:pPr>
        <w:spacing w:after="0"/>
        <w:ind w:right="168"/>
        <w:jc w:val="both"/>
        <w:rPr>
          <w:rFonts w:ascii="Trebuchet MS" w:hAnsi="Trebuchet MS" w:cstheme="minorHAnsi"/>
          <w:color w:val="292A4D"/>
          <w:sz w:val="24"/>
          <w:szCs w:val="24"/>
        </w:rPr>
      </w:pPr>
      <w:r w:rsidRPr="004C20EC">
        <w:rPr>
          <w:rFonts w:ascii="Trebuchet MS" w:hAnsi="Trebuchet MS" w:cstheme="minorHAnsi"/>
          <w:bCs/>
          <w:color w:val="292A4D"/>
          <w:sz w:val="24"/>
          <w:szCs w:val="24"/>
        </w:rPr>
        <w:t>Person centred</w:t>
      </w:r>
      <w:r w:rsidR="00051737" w:rsidRPr="004C20EC">
        <w:rPr>
          <w:rFonts w:ascii="Trebuchet MS" w:hAnsi="Trebuchet MS" w:cstheme="minorHAnsi"/>
          <w:bCs/>
          <w:color w:val="292A4D"/>
          <w:sz w:val="24"/>
          <w:szCs w:val="24"/>
        </w:rPr>
        <w:t xml:space="preserve"> coaching describe</w:t>
      </w:r>
      <w:r w:rsidRPr="004C20EC">
        <w:rPr>
          <w:rFonts w:ascii="Trebuchet MS" w:hAnsi="Trebuchet MS" w:cstheme="minorHAnsi"/>
          <w:bCs/>
          <w:color w:val="292A4D"/>
          <w:sz w:val="24"/>
          <w:szCs w:val="24"/>
        </w:rPr>
        <w:t>s</w:t>
      </w:r>
      <w:r w:rsidR="00051737" w:rsidRPr="004C20EC">
        <w:rPr>
          <w:rFonts w:ascii="Trebuchet MS" w:hAnsi="Trebuchet MS" w:cstheme="minorHAnsi"/>
          <w:bCs/>
          <w:color w:val="292A4D"/>
          <w:sz w:val="24"/>
          <w:szCs w:val="24"/>
        </w:rPr>
        <w:t xml:space="preserve"> many different interventions </w:t>
      </w:r>
      <w:r w:rsidR="00051737" w:rsidRPr="004C20EC">
        <w:rPr>
          <w:rFonts w:ascii="Trebuchet MS" w:hAnsi="Trebuchet MS" w:cstheme="minorHAnsi"/>
          <w:color w:val="292A4D"/>
          <w:sz w:val="24"/>
          <w:szCs w:val="24"/>
        </w:rPr>
        <w:t>that ‘coach’ or acti</w:t>
      </w:r>
      <w:r w:rsidR="00DF7C60" w:rsidRPr="004C20EC">
        <w:rPr>
          <w:rFonts w:ascii="Trebuchet MS" w:hAnsi="Trebuchet MS" w:cstheme="minorHAnsi"/>
          <w:color w:val="292A4D"/>
          <w:sz w:val="24"/>
          <w:szCs w:val="24"/>
        </w:rPr>
        <w:t>vely support people to self-care and take control of their lives</w:t>
      </w:r>
      <w:r w:rsidR="00051737" w:rsidRPr="004C20EC">
        <w:rPr>
          <w:rFonts w:ascii="Trebuchet MS" w:hAnsi="Trebuchet MS" w:cstheme="minorHAnsi"/>
          <w:color w:val="292A4D"/>
          <w:sz w:val="24"/>
          <w:szCs w:val="24"/>
        </w:rPr>
        <w:t>.  It involves a move away from a dependent model to one that is person centred, empowering, and based around a person’s own aspirations and goals. It aims to raise awareness and respons</w:t>
      </w:r>
      <w:r w:rsidR="00DF7C60" w:rsidRPr="004C20EC">
        <w:rPr>
          <w:rFonts w:ascii="Trebuchet MS" w:hAnsi="Trebuchet MS" w:cstheme="minorHAnsi"/>
          <w:color w:val="292A4D"/>
          <w:sz w:val="24"/>
          <w:szCs w:val="24"/>
        </w:rPr>
        <w:t xml:space="preserve">ibility of the person for their </w:t>
      </w:r>
      <w:r w:rsidR="00051737" w:rsidRPr="004C20EC">
        <w:rPr>
          <w:rFonts w:ascii="Trebuchet MS" w:hAnsi="Trebuchet MS" w:cstheme="minorHAnsi"/>
          <w:color w:val="292A4D"/>
          <w:sz w:val="24"/>
          <w:szCs w:val="24"/>
        </w:rPr>
        <w:t xml:space="preserve">own health and wellbeing, achieved through a transformation in the practitioner/service user relationship. </w:t>
      </w:r>
    </w:p>
    <w:p w:rsidR="00051737" w:rsidRPr="001362B3" w:rsidRDefault="00051737" w:rsidP="00051737">
      <w:pPr>
        <w:spacing w:after="0"/>
        <w:ind w:right="168"/>
        <w:jc w:val="both"/>
        <w:rPr>
          <w:rFonts w:ascii="Trebuchet MS" w:hAnsi="Trebuchet MS" w:cstheme="minorHAnsi"/>
          <w:color w:val="292A4D"/>
        </w:rPr>
      </w:pPr>
    </w:p>
    <w:p w:rsidR="00DF7C60" w:rsidRPr="001362B3" w:rsidRDefault="006E010B" w:rsidP="00DF7C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rebuchet MS" w:hAnsi="Trebuchet MS" w:cs="Calibri"/>
          <w:color w:val="292A4D"/>
          <w:sz w:val="22"/>
          <w:szCs w:val="22"/>
        </w:rPr>
      </w:pPr>
      <w:r>
        <w:rPr>
          <w:rFonts w:ascii="Trebuchet MS" w:hAnsi="Trebuchet MS" w:cstheme="minorHAnsi"/>
          <w:color w:val="292A4D"/>
        </w:rPr>
        <w:t xml:space="preserve">Person centred </w:t>
      </w:r>
      <w:r w:rsidR="00051737" w:rsidRPr="001362B3">
        <w:rPr>
          <w:rFonts w:ascii="Trebuchet MS" w:hAnsi="Trebuchet MS" w:cstheme="minorHAnsi"/>
          <w:color w:val="292A4D"/>
        </w:rPr>
        <w:t>coaching is based on strong provider communication and negotiation skills, informed, service user-defined goals, conscious choices, exploration of the consequences of decisions, &amp; service user accountability for decisions made.</w:t>
      </w:r>
      <w:r w:rsidR="00DF7C60">
        <w:rPr>
          <w:rFonts w:ascii="Trebuchet MS" w:hAnsi="Trebuchet MS" w:cstheme="minorHAnsi"/>
          <w:color w:val="292A4D"/>
        </w:rPr>
        <w:t xml:space="preserve">  </w:t>
      </w:r>
      <w:r w:rsidR="00DF7C60">
        <w:rPr>
          <w:rFonts w:ascii="Trebuchet MS" w:hAnsi="Trebuchet MS" w:cs="Calibri"/>
          <w:color w:val="292A4D"/>
          <w:sz w:val="22"/>
          <w:szCs w:val="22"/>
        </w:rPr>
        <w:t>Person centred coaching shifts the practitioner’s role to one of facilitator or guide, rather than expert or ‘fixer’.</w:t>
      </w:r>
    </w:p>
    <w:p w:rsidR="00051737" w:rsidRDefault="00051737" w:rsidP="00051737">
      <w:pPr>
        <w:spacing w:after="0"/>
        <w:ind w:right="168"/>
        <w:jc w:val="both"/>
        <w:rPr>
          <w:rFonts w:ascii="Trebuchet MS" w:hAnsi="Trebuchet MS" w:cstheme="minorHAnsi"/>
          <w:color w:val="292A4D"/>
        </w:rPr>
      </w:pPr>
    </w:p>
    <w:p w:rsidR="00DF7C60" w:rsidRDefault="00DF7C60" w:rsidP="00051737">
      <w:pPr>
        <w:spacing w:after="0"/>
        <w:ind w:right="168"/>
        <w:jc w:val="both"/>
        <w:rPr>
          <w:rFonts w:ascii="Trebuchet MS" w:hAnsi="Trebuchet MS" w:cstheme="minorHAnsi"/>
          <w:color w:val="292A4D"/>
        </w:rPr>
      </w:pPr>
    </w:p>
    <w:p w:rsidR="00051737" w:rsidRDefault="00051737" w:rsidP="00051737">
      <w:pPr>
        <w:autoSpaceDE w:val="0"/>
        <w:autoSpaceDN w:val="0"/>
        <w:adjustRightInd w:val="0"/>
        <w:spacing w:after="0"/>
        <w:contextualSpacing/>
        <w:rPr>
          <w:rStyle w:val="IntenseEmphasis"/>
          <w:rFonts w:ascii="Trebuchet MS" w:hAnsi="Trebuchet MS"/>
          <w:b/>
          <w:i w:val="0"/>
          <w:color w:val="292A4D"/>
        </w:rPr>
      </w:pPr>
    </w:p>
    <w:p w:rsidR="00C27ADE" w:rsidRDefault="00C27ADE" w:rsidP="00051737">
      <w:pPr>
        <w:autoSpaceDE w:val="0"/>
        <w:autoSpaceDN w:val="0"/>
        <w:adjustRightInd w:val="0"/>
        <w:spacing w:after="0"/>
        <w:contextualSpacing/>
        <w:rPr>
          <w:rStyle w:val="IntenseEmphasis"/>
          <w:rFonts w:ascii="Trebuchet MS" w:hAnsi="Trebuchet MS"/>
          <w:b/>
          <w:i w:val="0"/>
          <w:color w:val="292A4D"/>
          <w:sz w:val="24"/>
          <w:szCs w:val="24"/>
        </w:rPr>
      </w:pPr>
    </w:p>
    <w:p w:rsidR="00C27ADE" w:rsidRDefault="00C27ADE" w:rsidP="00051737">
      <w:pPr>
        <w:autoSpaceDE w:val="0"/>
        <w:autoSpaceDN w:val="0"/>
        <w:adjustRightInd w:val="0"/>
        <w:spacing w:after="0"/>
        <w:contextualSpacing/>
        <w:rPr>
          <w:rStyle w:val="IntenseEmphasis"/>
          <w:rFonts w:ascii="Trebuchet MS" w:hAnsi="Trebuchet MS"/>
          <w:b/>
          <w:i w:val="0"/>
          <w:color w:val="292A4D"/>
          <w:sz w:val="24"/>
          <w:szCs w:val="24"/>
        </w:rPr>
      </w:pPr>
    </w:p>
    <w:p w:rsidR="00C27ADE" w:rsidRDefault="00C27ADE" w:rsidP="00051737">
      <w:pPr>
        <w:autoSpaceDE w:val="0"/>
        <w:autoSpaceDN w:val="0"/>
        <w:adjustRightInd w:val="0"/>
        <w:spacing w:after="0"/>
        <w:contextualSpacing/>
        <w:rPr>
          <w:rStyle w:val="IntenseEmphasis"/>
          <w:rFonts w:ascii="Trebuchet MS" w:hAnsi="Trebuchet MS"/>
          <w:b/>
          <w:i w:val="0"/>
          <w:color w:val="292A4D"/>
          <w:sz w:val="24"/>
          <w:szCs w:val="24"/>
        </w:rPr>
      </w:pPr>
    </w:p>
    <w:p w:rsidR="00051737" w:rsidRPr="00F604E8" w:rsidRDefault="00DF7C60" w:rsidP="00051737">
      <w:pPr>
        <w:autoSpaceDE w:val="0"/>
        <w:autoSpaceDN w:val="0"/>
        <w:adjustRightInd w:val="0"/>
        <w:spacing w:after="0"/>
        <w:contextualSpacing/>
        <w:rPr>
          <w:rStyle w:val="IntenseEmphasis"/>
          <w:rFonts w:ascii="Trebuchet MS" w:hAnsi="Trebuchet MS"/>
          <w:b/>
          <w:i w:val="0"/>
          <w:color w:val="292A4D"/>
          <w:sz w:val="24"/>
          <w:szCs w:val="24"/>
        </w:rPr>
      </w:pPr>
      <w:r w:rsidRPr="00F604E8">
        <w:rPr>
          <w:rStyle w:val="IntenseEmphasis"/>
          <w:rFonts w:ascii="Trebuchet MS" w:hAnsi="Trebuchet MS"/>
          <w:b/>
          <w:i w:val="0"/>
          <w:color w:val="292A4D"/>
          <w:sz w:val="24"/>
          <w:szCs w:val="24"/>
        </w:rPr>
        <w:t>Workshop</w:t>
      </w:r>
      <w:r w:rsidR="00051737" w:rsidRPr="00F604E8">
        <w:rPr>
          <w:rStyle w:val="IntenseEmphasis"/>
          <w:rFonts w:ascii="Trebuchet MS" w:hAnsi="Trebuchet MS"/>
          <w:b/>
          <w:i w:val="0"/>
          <w:color w:val="292A4D"/>
          <w:sz w:val="24"/>
          <w:szCs w:val="24"/>
        </w:rPr>
        <w:t xml:space="preserve"> Content</w:t>
      </w:r>
    </w:p>
    <w:p w:rsidR="00051737" w:rsidRPr="00F604E8" w:rsidRDefault="00051737" w:rsidP="00051737">
      <w:pPr>
        <w:autoSpaceDE w:val="0"/>
        <w:autoSpaceDN w:val="0"/>
        <w:adjustRightInd w:val="0"/>
        <w:spacing w:after="0"/>
        <w:contextualSpacing/>
        <w:rPr>
          <w:rStyle w:val="IntenseEmphasis"/>
          <w:rFonts w:ascii="Trebuchet MS" w:hAnsi="Trebuchet MS"/>
          <w:i w:val="0"/>
          <w:color w:val="292A4D"/>
          <w:sz w:val="24"/>
          <w:szCs w:val="24"/>
        </w:rPr>
      </w:pPr>
    </w:p>
    <w:p w:rsidR="00051737" w:rsidRPr="00F604E8" w:rsidRDefault="00051737" w:rsidP="00051737">
      <w:pPr>
        <w:autoSpaceDE w:val="0"/>
        <w:autoSpaceDN w:val="0"/>
        <w:adjustRightInd w:val="0"/>
        <w:spacing w:after="0"/>
        <w:contextualSpacing/>
        <w:rPr>
          <w:rFonts w:ascii="Trebuchet MS" w:hAnsi="Trebuchet MS" w:cs="Frutiger-Bold"/>
          <w:bCs/>
          <w:i/>
          <w:color w:val="292A4D"/>
          <w:sz w:val="24"/>
          <w:szCs w:val="24"/>
        </w:rPr>
      </w:pPr>
      <w:r w:rsidRPr="00F604E8">
        <w:rPr>
          <w:rStyle w:val="IntenseEmphasis"/>
          <w:rFonts w:ascii="Trebuchet MS" w:hAnsi="Trebuchet MS"/>
          <w:color w:val="292A4D"/>
          <w:sz w:val="24"/>
          <w:szCs w:val="24"/>
        </w:rPr>
        <w:t xml:space="preserve">The programme aims to build on the many skills you already possess in order to enhance the quality of conversations that you have with people </w:t>
      </w:r>
      <w:r w:rsidR="006E010B" w:rsidRPr="00F604E8">
        <w:rPr>
          <w:rStyle w:val="IntenseEmphasis"/>
          <w:rFonts w:ascii="Trebuchet MS" w:hAnsi="Trebuchet MS"/>
          <w:color w:val="292A4D"/>
          <w:sz w:val="24"/>
          <w:szCs w:val="24"/>
        </w:rPr>
        <w:t>through using a person centred</w:t>
      </w:r>
      <w:r w:rsidRPr="00F604E8">
        <w:rPr>
          <w:rStyle w:val="IntenseEmphasis"/>
          <w:rFonts w:ascii="Trebuchet MS" w:hAnsi="Trebuchet MS"/>
          <w:color w:val="292A4D"/>
          <w:sz w:val="24"/>
          <w:szCs w:val="24"/>
        </w:rPr>
        <w:t xml:space="preserve"> coaching approach.</w:t>
      </w:r>
    </w:p>
    <w:p w:rsidR="00051737" w:rsidRPr="00F604E8" w:rsidRDefault="00051737" w:rsidP="00051737">
      <w:pPr>
        <w:autoSpaceDE w:val="0"/>
        <w:autoSpaceDN w:val="0"/>
        <w:adjustRightInd w:val="0"/>
        <w:spacing w:after="0"/>
        <w:contextualSpacing/>
        <w:rPr>
          <w:rFonts w:ascii="Trebuchet MS" w:hAnsi="Trebuchet MS" w:cs="Frutiger-Bold"/>
          <w:bCs/>
          <w:color w:val="292A4D"/>
          <w:sz w:val="24"/>
          <w:szCs w:val="24"/>
        </w:rPr>
      </w:pPr>
    </w:p>
    <w:p w:rsidR="00051737" w:rsidRPr="00F604E8" w:rsidRDefault="00DF7C60" w:rsidP="00051737">
      <w:pPr>
        <w:rPr>
          <w:rFonts w:ascii="Trebuchet MS" w:hAnsi="Trebuchet MS"/>
          <w:color w:val="292A4D"/>
          <w:sz w:val="24"/>
          <w:szCs w:val="24"/>
        </w:rPr>
      </w:pPr>
      <w:r w:rsidRPr="00F604E8">
        <w:rPr>
          <w:rFonts w:ascii="Trebuchet MS" w:hAnsi="Trebuchet MS"/>
          <w:color w:val="292A4D"/>
          <w:sz w:val="24"/>
          <w:szCs w:val="24"/>
        </w:rPr>
        <w:t>The workshop</w:t>
      </w:r>
      <w:r w:rsidR="00051737" w:rsidRPr="00F604E8">
        <w:rPr>
          <w:rFonts w:ascii="Trebuchet MS" w:hAnsi="Trebuchet MS" w:cs="Calibri"/>
          <w:color w:val="292A4D"/>
          <w:sz w:val="24"/>
          <w:szCs w:val="24"/>
        </w:rPr>
        <w:t xml:space="preserve"> will be highly experiential wi</w:t>
      </w:r>
      <w:r w:rsidR="00C27ADE">
        <w:rPr>
          <w:rFonts w:ascii="Trebuchet MS" w:hAnsi="Trebuchet MS" w:cs="Calibri"/>
          <w:color w:val="292A4D"/>
          <w:sz w:val="24"/>
          <w:szCs w:val="24"/>
        </w:rPr>
        <w:t>th many opportunities to practis</w:t>
      </w:r>
      <w:r w:rsidR="00051737" w:rsidRPr="00F604E8">
        <w:rPr>
          <w:rFonts w:ascii="Trebuchet MS" w:hAnsi="Trebuchet MS" w:cs="Calibri"/>
          <w:color w:val="292A4D"/>
          <w:sz w:val="24"/>
          <w:szCs w:val="24"/>
        </w:rPr>
        <w:t>e skills, share experience, develop relationships and network with other</w:t>
      </w:r>
      <w:r w:rsidR="0017519F" w:rsidRPr="00F604E8">
        <w:rPr>
          <w:rFonts w:ascii="Trebuchet MS" w:hAnsi="Trebuchet MS" w:cs="Calibri"/>
          <w:color w:val="292A4D"/>
          <w:sz w:val="24"/>
          <w:szCs w:val="24"/>
        </w:rPr>
        <w:t>s working in Tameside and Glossop</w:t>
      </w:r>
      <w:r w:rsidRPr="00F604E8">
        <w:rPr>
          <w:rFonts w:ascii="Trebuchet MS" w:hAnsi="Trebuchet MS" w:cs="Calibri"/>
          <w:color w:val="292A4D"/>
          <w:sz w:val="24"/>
          <w:szCs w:val="24"/>
        </w:rPr>
        <w:t xml:space="preserve">. It </w:t>
      </w:r>
      <w:r w:rsidR="00051737" w:rsidRPr="00F604E8">
        <w:rPr>
          <w:rFonts w:ascii="Trebuchet MS" w:hAnsi="Trebuchet MS" w:cs="Calibri"/>
          <w:color w:val="292A4D"/>
          <w:sz w:val="24"/>
          <w:szCs w:val="24"/>
        </w:rPr>
        <w:t xml:space="preserve">will </w:t>
      </w:r>
      <w:r w:rsidR="00051737" w:rsidRPr="00F604E8">
        <w:rPr>
          <w:rFonts w:ascii="Trebuchet MS" w:hAnsi="Trebuchet MS"/>
          <w:color w:val="292A4D"/>
          <w:sz w:val="24"/>
          <w:szCs w:val="24"/>
        </w:rPr>
        <w:t xml:space="preserve">cover: </w:t>
      </w:r>
    </w:p>
    <w:p w:rsidR="00051737" w:rsidRPr="00F604E8" w:rsidRDefault="00051737" w:rsidP="00051737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 w:rsidRPr="00F604E8">
        <w:rPr>
          <w:rFonts w:ascii="Trebuchet MS" w:hAnsi="Trebuchet MS"/>
          <w:color w:val="292A4D"/>
          <w:sz w:val="24"/>
          <w:szCs w:val="24"/>
        </w:rPr>
        <w:t>The foundations of coaching and how co</w:t>
      </w:r>
      <w:r w:rsidR="0017519F" w:rsidRPr="00F604E8">
        <w:rPr>
          <w:rFonts w:ascii="Trebuchet MS" w:hAnsi="Trebuchet MS"/>
          <w:color w:val="292A4D"/>
          <w:sz w:val="24"/>
          <w:szCs w:val="24"/>
        </w:rPr>
        <w:t>aching can be used</w:t>
      </w:r>
    </w:p>
    <w:p w:rsidR="00051737" w:rsidRPr="00F604E8" w:rsidRDefault="00AC7166" w:rsidP="00051737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>
        <w:rPr>
          <w:rFonts w:ascii="Trebuchet MS" w:hAnsi="Trebuchet MS"/>
          <w:color w:val="292A4D"/>
          <w:sz w:val="24"/>
          <w:szCs w:val="24"/>
        </w:rPr>
        <w:t xml:space="preserve">Principles of behaviour change and </w:t>
      </w:r>
      <w:r w:rsidR="00051737" w:rsidRPr="00F604E8">
        <w:rPr>
          <w:rFonts w:ascii="Trebuchet MS" w:hAnsi="Trebuchet MS"/>
          <w:color w:val="292A4D"/>
          <w:sz w:val="24"/>
          <w:szCs w:val="24"/>
        </w:rPr>
        <w:t>use of behavioural health coaching for brief interventions</w:t>
      </w:r>
    </w:p>
    <w:p w:rsidR="00051737" w:rsidRPr="00F604E8" w:rsidRDefault="00051737" w:rsidP="00051737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 w:rsidRPr="00F604E8">
        <w:rPr>
          <w:rFonts w:ascii="Trebuchet MS" w:hAnsi="Trebuchet MS"/>
          <w:color w:val="292A4D"/>
          <w:sz w:val="24"/>
          <w:szCs w:val="24"/>
        </w:rPr>
        <w:t>Setting e</w:t>
      </w:r>
      <w:r w:rsidR="0017519F" w:rsidRPr="00F604E8">
        <w:rPr>
          <w:rFonts w:ascii="Trebuchet MS" w:hAnsi="Trebuchet MS"/>
          <w:color w:val="292A4D"/>
          <w:sz w:val="24"/>
          <w:szCs w:val="24"/>
        </w:rPr>
        <w:t>ffective goals</w:t>
      </w:r>
      <w:r w:rsidRPr="00F604E8">
        <w:rPr>
          <w:rFonts w:ascii="Trebuchet MS" w:hAnsi="Trebuchet MS"/>
          <w:color w:val="292A4D"/>
          <w:sz w:val="24"/>
          <w:szCs w:val="24"/>
        </w:rPr>
        <w:t xml:space="preserve"> that encourage self care</w:t>
      </w:r>
    </w:p>
    <w:p w:rsidR="00051737" w:rsidRPr="00F604E8" w:rsidRDefault="00051737" w:rsidP="00051737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 w:rsidRPr="00F604E8">
        <w:rPr>
          <w:rFonts w:ascii="Trebuchet MS" w:hAnsi="Trebuchet MS"/>
          <w:color w:val="292A4D"/>
          <w:sz w:val="24"/>
          <w:szCs w:val="24"/>
        </w:rPr>
        <w:t>Trust and rapport and the implications for behaviour change</w:t>
      </w:r>
    </w:p>
    <w:p w:rsidR="00051737" w:rsidRPr="00F604E8" w:rsidRDefault="00051737" w:rsidP="00051737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 w:rsidRPr="00F604E8">
        <w:rPr>
          <w:rFonts w:ascii="Trebuchet MS" w:hAnsi="Trebuchet MS"/>
          <w:color w:val="292A4D"/>
          <w:sz w:val="24"/>
          <w:szCs w:val="24"/>
        </w:rPr>
        <w:t>Listening Questioning and Challenging skills</w:t>
      </w:r>
    </w:p>
    <w:p w:rsidR="00AC7166" w:rsidRDefault="0017519F" w:rsidP="00AC7166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 w:rsidRPr="00F604E8">
        <w:rPr>
          <w:rFonts w:ascii="Trebuchet MS" w:hAnsi="Trebuchet MS"/>
          <w:color w:val="292A4D"/>
          <w:sz w:val="24"/>
          <w:szCs w:val="24"/>
        </w:rPr>
        <w:t>Encouraging</w:t>
      </w:r>
      <w:r w:rsidR="00051737" w:rsidRPr="00F604E8">
        <w:rPr>
          <w:rFonts w:ascii="Trebuchet MS" w:hAnsi="Trebuchet MS"/>
          <w:color w:val="292A4D"/>
          <w:sz w:val="24"/>
          <w:szCs w:val="24"/>
        </w:rPr>
        <w:t xml:space="preserve"> activation and self-responsibility</w:t>
      </w:r>
    </w:p>
    <w:p w:rsidR="00051737" w:rsidRDefault="00051737" w:rsidP="00AC7166">
      <w:pPr>
        <w:numPr>
          <w:ilvl w:val="0"/>
          <w:numId w:val="1"/>
        </w:numPr>
        <w:spacing w:after="0"/>
        <w:rPr>
          <w:rFonts w:ascii="Trebuchet MS" w:hAnsi="Trebuchet MS"/>
          <w:color w:val="292A4D"/>
          <w:sz w:val="24"/>
          <w:szCs w:val="24"/>
        </w:rPr>
      </w:pPr>
      <w:r w:rsidRPr="00AC7166">
        <w:rPr>
          <w:rFonts w:ascii="Trebuchet MS" w:hAnsi="Trebuchet MS"/>
          <w:color w:val="292A4D"/>
          <w:sz w:val="24"/>
          <w:szCs w:val="24"/>
        </w:rPr>
        <w:t xml:space="preserve">The use of motivational interviewing and solution focused coaching </w:t>
      </w:r>
    </w:p>
    <w:p w:rsidR="005A72E6" w:rsidRDefault="005A72E6" w:rsidP="005A72E6">
      <w:pPr>
        <w:spacing w:after="0"/>
        <w:rPr>
          <w:rFonts w:ascii="Trebuchet MS" w:hAnsi="Trebuchet MS"/>
          <w:color w:val="292A4D"/>
          <w:sz w:val="24"/>
          <w:szCs w:val="24"/>
        </w:rPr>
      </w:pPr>
    </w:p>
    <w:p w:rsidR="005A72E6" w:rsidRPr="00AC7166" w:rsidRDefault="005A72E6" w:rsidP="005A72E6">
      <w:pPr>
        <w:spacing w:after="0"/>
        <w:rPr>
          <w:rFonts w:ascii="Trebuchet MS" w:hAnsi="Trebuchet MS"/>
          <w:color w:val="292A4D"/>
          <w:sz w:val="24"/>
          <w:szCs w:val="24"/>
        </w:rPr>
      </w:pPr>
    </w:p>
    <w:p w:rsidR="00AC7166" w:rsidRDefault="00AC7166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Pr="005A72E6" w:rsidRDefault="00C27ADE" w:rsidP="00C27ADE">
      <w:pPr>
        <w:spacing w:after="0" w:line="240" w:lineRule="auto"/>
        <w:rPr>
          <w:rFonts w:ascii="Trebuchet MS" w:hAnsi="Trebuchet MS"/>
          <w:b/>
          <w:color w:val="292A4D"/>
          <w:sz w:val="24"/>
          <w:szCs w:val="24"/>
        </w:rPr>
      </w:pPr>
      <w:r w:rsidRPr="005A72E6">
        <w:rPr>
          <w:rFonts w:ascii="Trebuchet MS" w:hAnsi="Trebuchet MS"/>
          <w:b/>
          <w:color w:val="292A4D"/>
          <w:sz w:val="24"/>
          <w:szCs w:val="24"/>
        </w:rPr>
        <w:t>A  Coaching approach encourages people to be resourceful</w:t>
      </w:r>
    </w:p>
    <w:p w:rsidR="00C27ADE" w:rsidRPr="005A72E6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FFFFFF" w:themeColor="background1"/>
          <w:sz w:val="24"/>
          <w:szCs w:val="24"/>
          <w:lang w:eastAsia="en-GB"/>
          <w14:textFill>
            <w14:noFill/>
          </w14:textFill>
        </w:rPr>
      </w:pPr>
      <w:r w:rsidRPr="005A72E6">
        <w:rPr>
          <w:rFonts w:ascii="Trebuchet MS" w:eastAsia="Times New Roman" w:hAnsi="Trebuchet MS" w:cs="Arial"/>
          <w:noProof/>
          <w:color w:val="FFFFFF" w:themeColor="background1"/>
          <w:sz w:val="24"/>
          <w:szCs w:val="24"/>
          <w:lang w:eastAsia="en-GB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DE" w:rsidRPr="005A72E6" w:rsidRDefault="00C27A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27AD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91435" cy="2187039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1435" cy="218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4pt;margin-top:18.3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" filled="f" stroked="f">
                <v:textbox style="mso-fit-shape-to-text:t">
                  <w:txbxContent>
                    <w:p w:rsidR="00C27ADE" w:rsidRPr="005A72E6" w:rsidRDefault="00C27A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27AD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91435" cy="2187039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1435" cy="218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2E6">
        <w:rPr>
          <w:rFonts w:ascii="Trebuchet MS" w:eastAsia="Times New Roman" w:hAnsi="Trebuchet MS" w:cs="Arial"/>
          <w:noProof/>
          <w:color w:val="FFFFFF" w:themeColor="background1"/>
          <w:sz w:val="24"/>
          <w:szCs w:val="24"/>
          <w:lang w:eastAsia="en-GB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184785</wp:posOffset>
                </wp:positionV>
                <wp:extent cx="35337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Person is viewed as the expert in their own life</w:t>
                            </w:r>
                          </w:p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Person contributes to generating their own solutions</w:t>
                            </w:r>
                          </w:p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Decisions made in partnership</w:t>
                            </w:r>
                          </w:p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Person believes that they have an active role in their health</w:t>
                            </w:r>
                          </w:p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Person is supported to define &amp; measure their own goals</w:t>
                            </w:r>
                          </w:p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Focus on intrinsic and extrinsic motivators</w:t>
                            </w:r>
                          </w:p>
                          <w:p w:rsidR="00C27ADE" w:rsidRPr="005A72E6" w:rsidRDefault="00C27ADE" w:rsidP="00C27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292A4D"/>
                              </w:rPr>
                            </w:pPr>
                            <w:r w:rsidRPr="005A72E6">
                              <w:rPr>
                                <w:rFonts w:ascii="Trebuchet MS" w:hAnsi="Trebuchet MS" w:cs="Arial"/>
                                <w:color w:val="292A4D"/>
                                <w:kern w:val="24"/>
                              </w:rPr>
                              <w:t>Psychological factors in change  are addressed</w:t>
                            </w:r>
                          </w:p>
                          <w:p w:rsidR="00C27ADE" w:rsidRDefault="00C27A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7pt;margin-top:14.55pt;width:278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" filled="f" stroked="f">
                <v:textbox style="mso-fit-shape-to-text:t">
                  <w:txbxContent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Person is viewed as the expert in their own life</w:t>
                      </w:r>
                    </w:p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Person contributes to generating their own solutions</w:t>
                      </w:r>
                    </w:p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Decisions made in partnership</w:t>
                      </w:r>
                    </w:p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Person believes that they have an active role in their health</w:t>
                      </w:r>
                    </w:p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Person is supported to define &amp; measure their own goals</w:t>
                      </w:r>
                    </w:p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Focus on intrinsic and extrinsic motivators</w:t>
                      </w:r>
                    </w:p>
                    <w:p w:rsidR="00C27ADE" w:rsidRPr="005A72E6" w:rsidRDefault="00C27ADE" w:rsidP="00C27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292A4D"/>
                        </w:rPr>
                      </w:pPr>
                      <w:r w:rsidRPr="005A72E6">
                        <w:rPr>
                          <w:rFonts w:ascii="Trebuchet MS" w:hAnsi="Trebuchet MS" w:cs="Arial"/>
                          <w:color w:val="292A4D"/>
                          <w:kern w:val="24"/>
                        </w:rPr>
                        <w:t>Psychological factors in change  are addressed</w:t>
                      </w:r>
                    </w:p>
                    <w:p w:rsidR="00C27ADE" w:rsidRDefault="00C27ADE"/>
                  </w:txbxContent>
                </v:textbox>
                <w10:wrap type="square"/>
              </v:shape>
            </w:pict>
          </mc:Fallback>
        </mc:AlternateContent>
      </w: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5A72E6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noProof/>
          <w:color w:val="292A4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217170</wp:posOffset>
                </wp:positionV>
                <wp:extent cx="320040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ADE" w:rsidRDefault="00C27ADE"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</w:rPr>
                              <w:t xml:space="preserve">Practitioner                 </w:t>
                            </w:r>
                            <w:r w:rsidRPr="00262703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</w:rP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-241pt;margin-top:17.1pt;width:252pt;height:3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" filled="f" stroked="f" strokeweight=".5pt">
                <v:textbox>
                  <w:txbxContent>
                    <w:p w:rsidR="00C27ADE" w:rsidRDefault="00C27ADE">
                      <w:r>
                        <w:rPr>
                          <w:rFonts w:ascii="Trebuchet MS" w:hAnsi="Trebuchet MS"/>
                          <w:b/>
                          <w:color w:val="002060"/>
                          <w:sz w:val="32"/>
                        </w:rPr>
                        <w:t xml:space="preserve">Practitioner                 </w:t>
                      </w:r>
                      <w:r w:rsidRPr="00262703">
                        <w:rPr>
                          <w:rFonts w:ascii="Trebuchet MS" w:hAnsi="Trebuchet MS"/>
                          <w:b/>
                          <w:color w:val="002060"/>
                          <w:sz w:val="32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C27ADE" w:rsidRPr="00AC7166" w:rsidRDefault="00C27ADE" w:rsidP="00AC7166">
      <w:pPr>
        <w:shd w:val="clear" w:color="auto" w:fill="FFFFFF"/>
        <w:spacing w:before="45" w:after="0"/>
        <w:ind w:left="720"/>
        <w:jc w:val="both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p w:rsidR="00DF7C60" w:rsidRPr="00F604E8" w:rsidRDefault="00DF7C60" w:rsidP="00051737">
      <w:pPr>
        <w:shd w:val="clear" w:color="auto" w:fill="FFFFFF"/>
        <w:spacing w:before="45" w:after="0"/>
        <w:rPr>
          <w:rFonts w:ascii="Trebuchet MS" w:eastAsia="Times New Roman" w:hAnsi="Trebuchet MS" w:cs="Arial"/>
          <w:b/>
          <w:color w:val="292A4D"/>
          <w:sz w:val="24"/>
          <w:szCs w:val="24"/>
          <w:lang w:eastAsia="en-GB"/>
        </w:rPr>
      </w:pPr>
      <w:r w:rsidRPr="00F604E8">
        <w:rPr>
          <w:rFonts w:ascii="Trebuchet MS" w:eastAsia="Times New Roman" w:hAnsi="Trebuchet MS" w:cs="Arial"/>
          <w:b/>
          <w:color w:val="292A4D"/>
          <w:sz w:val="24"/>
          <w:szCs w:val="24"/>
          <w:lang w:eastAsia="en-GB"/>
        </w:rPr>
        <w:t>How to register</w:t>
      </w:r>
    </w:p>
    <w:p w:rsidR="00DF7C60" w:rsidRPr="00F604E8" w:rsidRDefault="00E96EB6" w:rsidP="00051737">
      <w:pPr>
        <w:shd w:val="clear" w:color="auto" w:fill="FFFFFF"/>
        <w:spacing w:before="45" w:after="0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  <w:t>Registration</w:t>
      </w:r>
      <w:r w:rsidR="00DF7C60" w:rsidRPr="00F604E8"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  <w:t xml:space="preserve"> for the Spring/S</w:t>
      </w:r>
      <w:r w:rsidR="00623C7B"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  <w:t>ummer 2019 programme is now open</w:t>
      </w:r>
      <w:r w:rsidR="00DF7C60" w:rsidRPr="00F604E8"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  <w:t xml:space="preserve">.  Places are free, </w:t>
      </w:r>
      <w:r w:rsidR="00F604E8" w:rsidRPr="00F604E8"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  <w:t>but you must be able to a</w:t>
      </w:r>
      <w:bookmarkStart w:id="0" w:name="_GoBack"/>
      <w:bookmarkEnd w:id="0"/>
      <w:r w:rsidR="00F604E8" w:rsidRPr="00F604E8"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  <w:t xml:space="preserve">ttend both days. There are a number of dates available.  Please register via Eventbrite </w:t>
      </w:r>
    </w:p>
    <w:p w:rsidR="00163A23" w:rsidRPr="00F604E8" w:rsidRDefault="00163A23" w:rsidP="00163A23">
      <w:pPr>
        <w:shd w:val="clear" w:color="auto" w:fill="FFFFFF"/>
        <w:spacing w:before="45" w:after="0"/>
        <w:rPr>
          <w:rFonts w:ascii="Trebuchet MS" w:eastAsia="Times New Roman" w:hAnsi="Trebuchet MS" w:cs="Arial"/>
          <w:color w:val="292A4D"/>
          <w:sz w:val="24"/>
          <w:szCs w:val="24"/>
          <w:lang w:eastAsia="en-GB"/>
        </w:rPr>
      </w:pPr>
    </w:p>
    <w:tbl>
      <w:tblPr>
        <w:tblW w:w="0" w:type="auto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8775"/>
      </w:tblGrid>
      <w:tr w:rsidR="00163A23" w:rsidRPr="005C09B6" w:rsidTr="005C4BE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Cohort 1</w:t>
            </w:r>
          </w:p>
        </w:tc>
        <w:tc>
          <w:tcPr>
            <w:tcW w:w="8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6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and 13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June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8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https://2-day-coaching-6june-and-13june.eventbrite.co.uk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36DA" w:rsidRPr="005C09B6" w:rsidTr="005C4BE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6DA" w:rsidRDefault="004B36DA" w:rsidP="005C4B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:rsidR="004B36DA" w:rsidRDefault="004B36DA" w:rsidP="005C4B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:rsidR="004B36DA" w:rsidRPr="004B36DA" w:rsidRDefault="004B36DA" w:rsidP="005C4B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36D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Cohort 2</w:t>
            </w:r>
          </w:p>
        </w:tc>
        <w:tc>
          <w:tcPr>
            <w:tcW w:w="8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6DA" w:rsidRDefault="004B36DA" w:rsidP="004B36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B36DA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18th June and 25th June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4B36D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Discovery Academy, Hyde</w:t>
            </w:r>
          </w:p>
          <w:p w:rsidR="004B36DA" w:rsidRPr="004B36DA" w:rsidRDefault="004B36DA" w:rsidP="004B36DA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4B36DA" w:rsidRPr="004B36DA" w:rsidRDefault="003A4B0A" w:rsidP="004B36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9" w:tgtFrame="_blank" w:history="1">
              <w:r w:rsidR="004B36DA" w:rsidRPr="004B36DA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https://2-day-coaching-18june-and-25june.eventbrite.co.uk</w:t>
              </w:r>
            </w:hyperlink>
          </w:p>
          <w:p w:rsidR="004B36DA" w:rsidRDefault="004B36DA" w:rsidP="005C4B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163A23" w:rsidRPr="005C09B6" w:rsidTr="005C4BE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Pr="005C09B6" w:rsidRDefault="004B36DA" w:rsidP="005C4BE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Cohort 3</w:t>
            </w:r>
          </w:p>
        </w:tc>
        <w:tc>
          <w:tcPr>
            <w:tcW w:w="8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June and 26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June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;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10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https://2-day-coaching-19june-and-26june.eventbrite.co.uk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63A23" w:rsidRPr="005C09B6" w:rsidTr="005C4BE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Pr="005C09B6" w:rsidRDefault="004B36DA" w:rsidP="005C4BE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Cohort 4</w:t>
            </w:r>
          </w:p>
        </w:tc>
        <w:tc>
          <w:tcPr>
            <w:tcW w:w="8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 and 10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11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https://2-day-coaching-1july-and-10july.eventbrite.co.uk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63A23" w:rsidRPr="005C09B6" w:rsidTr="005C4BE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Pr="005C09B6" w:rsidRDefault="004B36DA" w:rsidP="005C4BE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Cohort 5</w:t>
            </w:r>
          </w:p>
        </w:tc>
        <w:tc>
          <w:tcPr>
            <w:tcW w:w="8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 and 11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12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https://2-day-coaching-2july-and-11july.eventbrite.co.uk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63A23" w:rsidRPr="005C09B6" w:rsidTr="005C4BE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Pr="005C09B6" w:rsidRDefault="004B36DA" w:rsidP="005C4BE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Cohort 6</w:t>
            </w:r>
          </w:p>
        </w:tc>
        <w:tc>
          <w:tcPr>
            <w:tcW w:w="8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 and 12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13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https://2-day-coaching-3july-and-12july.eventbrite.co.uk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63A23" w:rsidRPr="005C09B6" w:rsidTr="005C4BE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Pr="005C09B6" w:rsidRDefault="004B36DA" w:rsidP="005C4BE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Cohort 7</w:t>
            </w:r>
          </w:p>
        </w:tc>
        <w:tc>
          <w:tcPr>
            <w:tcW w:w="8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 and 24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14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https://2-day-coaching-17july-and-24july.eventbrite.co.uk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63A23" w:rsidRPr="005C09B6" w:rsidTr="005C4BE3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163A23" w:rsidRPr="005C09B6" w:rsidRDefault="004B36DA" w:rsidP="005C4BE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Cohort 8</w:t>
            </w:r>
          </w:p>
        </w:tc>
        <w:tc>
          <w:tcPr>
            <w:tcW w:w="8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 and 25</w:t>
            </w:r>
            <w:r w:rsidRPr="005C09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5C09B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 July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5C09B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Highfield Pavilion, Stamford Park, Ashton-under-Lyne</w:t>
            </w:r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09B6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163A23" w:rsidRPr="005C09B6" w:rsidRDefault="003A4B0A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hyperlink r:id="rId15" w:tgtFrame="_blank" w:history="1">
              <w:r w:rsidR="00163A23" w:rsidRPr="005C09B6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https://2-day-coaching-18july-and-25july.eventbrite.co.uk</w:t>
              </w:r>
            </w:hyperlink>
          </w:p>
          <w:p w:rsidR="00163A23" w:rsidRPr="005C09B6" w:rsidRDefault="00163A23" w:rsidP="005C4B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55EF8" w:rsidRPr="001362B3" w:rsidRDefault="00C55EF8" w:rsidP="00051737">
      <w:pPr>
        <w:autoSpaceDE w:val="0"/>
        <w:autoSpaceDN w:val="0"/>
        <w:adjustRightInd w:val="0"/>
        <w:jc w:val="both"/>
        <w:rPr>
          <w:rFonts w:ascii="Trebuchet MS" w:hAnsi="Trebuchet MS" w:cs="Muli-Light"/>
          <w:color w:val="292A4D"/>
        </w:rPr>
      </w:pPr>
    </w:p>
    <w:p w:rsidR="00BA2455" w:rsidRDefault="00BA2455"/>
    <w:p w:rsidR="001062AB" w:rsidRDefault="001062AB" w:rsidP="001062AB">
      <w:pPr>
        <w:autoSpaceDE w:val="0"/>
        <w:autoSpaceDN w:val="0"/>
        <w:adjustRightInd w:val="0"/>
        <w:jc w:val="both"/>
        <w:rPr>
          <w:rFonts w:ascii="Trebuchet MS" w:hAnsi="Trebuchet MS" w:cs="Frutiger-Bold"/>
          <w:b/>
          <w:bCs/>
          <w:color w:val="292A4D"/>
        </w:rPr>
      </w:pPr>
      <w:r>
        <w:rPr>
          <w:rFonts w:ascii="Trebuchet MS" w:hAnsi="Trebuchet MS" w:cs="Frutiger-Bold"/>
          <w:b/>
          <w:bCs/>
          <w:color w:val="292A4D"/>
        </w:rPr>
        <w:t>For more information please contact:</w:t>
      </w:r>
    </w:p>
    <w:p w:rsidR="001062AB" w:rsidRDefault="003A4B0A" w:rsidP="001062AB">
      <w:pPr>
        <w:autoSpaceDE w:val="0"/>
        <w:autoSpaceDN w:val="0"/>
        <w:adjustRightInd w:val="0"/>
        <w:jc w:val="both"/>
        <w:rPr>
          <w:rFonts w:ascii="Trebuchet MS" w:hAnsi="Trebuchet MS" w:cs="Frutiger-Bold"/>
          <w:b/>
          <w:bCs/>
          <w:color w:val="292A4D"/>
        </w:rPr>
      </w:pPr>
      <w:hyperlink r:id="rId16" w:history="1">
        <w:r w:rsidR="001062AB" w:rsidRPr="00905693">
          <w:rPr>
            <w:rStyle w:val="Hyperlink"/>
            <w:rFonts w:ascii="Trebuchet MS" w:hAnsi="Trebuchet MS" w:cs="Frutiger-Bold"/>
            <w:b/>
            <w:bCs/>
          </w:rPr>
          <w:t>Nicola.wood@tgh.nhs.uk</w:t>
        </w:r>
      </w:hyperlink>
    </w:p>
    <w:p w:rsidR="001062AB" w:rsidRDefault="001062AB"/>
    <w:sectPr w:rsidR="001062AB" w:rsidSect="00051737">
      <w:footerReference w:type="default" r:id="rId17"/>
      <w:pgSz w:w="11900" w:h="16820" w:code="11"/>
      <w:pgMar w:top="540" w:right="426" w:bottom="458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0A" w:rsidRDefault="003A4B0A" w:rsidP="0008756E">
      <w:pPr>
        <w:spacing w:after="0" w:line="240" w:lineRule="auto"/>
      </w:pPr>
      <w:r>
        <w:separator/>
      </w:r>
    </w:p>
  </w:endnote>
  <w:endnote w:type="continuationSeparator" w:id="0">
    <w:p w:rsidR="003A4B0A" w:rsidRDefault="003A4B0A" w:rsidP="000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-Bold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uli-Ligh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6E" w:rsidRDefault="0008756E">
    <w:pPr>
      <w:pStyle w:val="Footer"/>
    </w:pPr>
  </w:p>
  <w:p w:rsidR="0008756E" w:rsidRDefault="0008756E">
    <w:pPr>
      <w:pStyle w:val="Footer"/>
    </w:pPr>
    <w:r>
      <w:rPr>
        <w:noProof/>
        <w:lang w:eastAsia="en-GB"/>
      </w:rPr>
      <w:drawing>
        <wp:inline distT="0" distB="0" distL="0" distR="0" wp14:anchorId="7E79D11A" wp14:editId="2257BF05">
          <wp:extent cx="1568732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G IC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76" cy="70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1B47DDF0" wp14:editId="2F19FFBA">
          <wp:extent cx="1395225" cy="58786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CC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318" cy="59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13745D9C" wp14:editId="7237F7BF">
          <wp:extent cx="1562100" cy="3896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B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99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68283E90" wp14:editId="6AF514F8">
          <wp:extent cx="1590675" cy="590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_logo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676" cy="59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0A" w:rsidRDefault="003A4B0A" w:rsidP="0008756E">
      <w:pPr>
        <w:spacing w:after="0" w:line="240" w:lineRule="auto"/>
      </w:pPr>
      <w:r>
        <w:separator/>
      </w:r>
    </w:p>
  </w:footnote>
  <w:footnote w:type="continuationSeparator" w:id="0">
    <w:p w:rsidR="003A4B0A" w:rsidRDefault="003A4B0A" w:rsidP="000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7F89"/>
    <w:multiLevelType w:val="hybridMultilevel"/>
    <w:tmpl w:val="1E840BEA"/>
    <w:lvl w:ilvl="0" w:tplc="766C8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4F1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5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4F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29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AE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60D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8A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D95"/>
    <w:multiLevelType w:val="multilevel"/>
    <w:tmpl w:val="4AE81EC6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1B93E46"/>
    <w:multiLevelType w:val="multilevel"/>
    <w:tmpl w:val="74182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A6572D8"/>
    <w:multiLevelType w:val="hybridMultilevel"/>
    <w:tmpl w:val="155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3ACF"/>
    <w:multiLevelType w:val="hybridMultilevel"/>
    <w:tmpl w:val="CAD83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A0CAD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2A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0C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83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0A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7D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430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37"/>
    <w:rsid w:val="000134DF"/>
    <w:rsid w:val="00051737"/>
    <w:rsid w:val="000850BA"/>
    <w:rsid w:val="0008756E"/>
    <w:rsid w:val="001062AB"/>
    <w:rsid w:val="00163A23"/>
    <w:rsid w:val="0017519F"/>
    <w:rsid w:val="001858A0"/>
    <w:rsid w:val="00336293"/>
    <w:rsid w:val="00350D9B"/>
    <w:rsid w:val="003A0E06"/>
    <w:rsid w:val="003A4B0A"/>
    <w:rsid w:val="004048C9"/>
    <w:rsid w:val="004B36DA"/>
    <w:rsid w:val="004C20EC"/>
    <w:rsid w:val="004C57B6"/>
    <w:rsid w:val="005A72E6"/>
    <w:rsid w:val="006052C5"/>
    <w:rsid w:val="00623C7B"/>
    <w:rsid w:val="0069759A"/>
    <w:rsid w:val="006E010B"/>
    <w:rsid w:val="006E6B26"/>
    <w:rsid w:val="007441D4"/>
    <w:rsid w:val="00926E1A"/>
    <w:rsid w:val="009460ED"/>
    <w:rsid w:val="009A2EF4"/>
    <w:rsid w:val="009B0C5B"/>
    <w:rsid w:val="009B1F74"/>
    <w:rsid w:val="00AC7166"/>
    <w:rsid w:val="00BA2455"/>
    <w:rsid w:val="00C27ADE"/>
    <w:rsid w:val="00C55EF8"/>
    <w:rsid w:val="00CB73A8"/>
    <w:rsid w:val="00DF7C60"/>
    <w:rsid w:val="00E96EB6"/>
    <w:rsid w:val="00F1479A"/>
    <w:rsid w:val="00F34AE2"/>
    <w:rsid w:val="00F604E8"/>
    <w:rsid w:val="00F63F8A"/>
    <w:rsid w:val="00F82B2B"/>
    <w:rsid w:val="00F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3EA24-A812-8C41-A4FC-91653151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37"/>
    <w:rPr>
      <w:b w:val="0"/>
      <w:bCs w:val="0"/>
      <w:i w:val="0"/>
      <w:iCs w:val="0"/>
      <w:strike w:val="0"/>
      <w:dstrike w:val="0"/>
      <w:color w:val="00245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5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173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rsid w:val="00051737"/>
    <w:rPr>
      <w:i/>
      <w:iCs/>
      <w:color w:val="29294D"/>
    </w:rPr>
  </w:style>
  <w:style w:type="table" w:styleId="TableGrid">
    <w:name w:val="Table Grid"/>
    <w:basedOn w:val="TableNormal"/>
    <w:uiPriority w:val="59"/>
    <w:rsid w:val="0017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-day-coaching-6june-and-13june.eventbrite.co.uk/" TargetMode="External"/><Relationship Id="rId13" Type="http://schemas.openxmlformats.org/officeDocument/2006/relationships/hyperlink" Target="https://2-day-coaching-3july-and-12july.eventbrite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2-day-coaching-2july-and-11july.eventbrite.co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icola.wood@tgh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-day-coaching-1july-and-10july.eventbrite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-day-coaching-18july-and-25july.eventbrite.co.uk/" TargetMode="External"/><Relationship Id="rId10" Type="http://schemas.openxmlformats.org/officeDocument/2006/relationships/hyperlink" Target="https://2-day-coaching-19june-and-26june.eventbrite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2-day-coaching-18june-and-25june.eventbrite.co.uk/" TargetMode="External"/><Relationship Id="rId14" Type="http://schemas.openxmlformats.org/officeDocument/2006/relationships/hyperlink" Target="https://2-day-coaching-17july-and-24july.eventbrite.co.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and Glossop Integrated Care NHS 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Nicola</dc:creator>
  <cp:lastModifiedBy>Microsoft Office User</cp:lastModifiedBy>
  <cp:revision>2</cp:revision>
  <dcterms:created xsi:type="dcterms:W3CDTF">2019-04-23T10:17:00Z</dcterms:created>
  <dcterms:modified xsi:type="dcterms:W3CDTF">2019-04-23T10:17:00Z</dcterms:modified>
</cp:coreProperties>
</file>