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8905E" w14:textId="5D12B235" w:rsidR="00D40F11" w:rsidRDefault="00D40F11" w:rsidP="00756EEA">
      <w:pPr>
        <w:rPr>
          <w:rFonts w:ascii="Trebuchet MS" w:hAnsi="Trebuchet MS"/>
          <w:color w:val="3664AE"/>
          <w:sz w:val="28"/>
          <w:szCs w:val="28"/>
        </w:rPr>
      </w:pPr>
    </w:p>
    <w:p w14:paraId="0D14D3A3" w14:textId="00AD65B0" w:rsidR="00D40F11" w:rsidRPr="00FD5945" w:rsidRDefault="00DB5676" w:rsidP="00914BA2">
      <w:pPr>
        <w:pStyle w:val="PlainText"/>
        <w:jc w:val="center"/>
        <w:rPr>
          <w:rFonts w:ascii="Trebuchet MS" w:hAnsi="Trebuchet MS"/>
          <w:b/>
          <w:bCs/>
          <w:color w:val="E72063"/>
          <w:sz w:val="28"/>
          <w:szCs w:val="28"/>
        </w:rPr>
      </w:pPr>
      <w:r w:rsidRPr="00FD5945">
        <w:rPr>
          <w:rFonts w:ascii="Trebuchet MS" w:hAnsi="Trebuchet MS"/>
          <w:b/>
          <w:bCs/>
          <w:color w:val="E72063"/>
          <w:sz w:val="28"/>
          <w:szCs w:val="28"/>
        </w:rPr>
        <w:t>Rochdale</w:t>
      </w:r>
      <w:r w:rsidR="00092576" w:rsidRPr="00FD5945">
        <w:rPr>
          <w:rFonts w:ascii="Trebuchet MS" w:hAnsi="Trebuchet MS"/>
          <w:b/>
          <w:bCs/>
          <w:color w:val="E72063"/>
          <w:sz w:val="28"/>
          <w:szCs w:val="28"/>
        </w:rPr>
        <w:t xml:space="preserve"> </w:t>
      </w:r>
      <w:r w:rsidR="00D40F11" w:rsidRPr="00FD5945">
        <w:rPr>
          <w:rFonts w:ascii="Trebuchet MS" w:hAnsi="Trebuchet MS"/>
          <w:b/>
          <w:bCs/>
          <w:color w:val="E72063"/>
          <w:sz w:val="28"/>
          <w:szCs w:val="28"/>
        </w:rPr>
        <w:t>Community Response Fund</w:t>
      </w:r>
      <w:r w:rsidR="00E125C4" w:rsidRPr="00FD5945">
        <w:rPr>
          <w:rFonts w:ascii="Trebuchet MS" w:hAnsi="Trebuchet MS"/>
          <w:b/>
          <w:bCs/>
          <w:color w:val="E72063"/>
          <w:sz w:val="28"/>
          <w:szCs w:val="28"/>
        </w:rPr>
        <w:t xml:space="preserve"> – Equalities Focus</w:t>
      </w:r>
    </w:p>
    <w:p w14:paraId="454E232E" w14:textId="0B8A6F7F" w:rsidR="00F551F6" w:rsidRPr="00FD5945" w:rsidRDefault="00F551F6" w:rsidP="000D46ED">
      <w:pPr>
        <w:pStyle w:val="PlainText"/>
        <w:jc w:val="center"/>
        <w:rPr>
          <w:rFonts w:ascii="Trebuchet MS" w:hAnsi="Trebuchet MS"/>
          <w:b/>
          <w:bCs/>
          <w:color w:val="E72063"/>
          <w:sz w:val="28"/>
          <w:szCs w:val="28"/>
        </w:rPr>
      </w:pPr>
      <w:r w:rsidRPr="00FD5945">
        <w:rPr>
          <w:rFonts w:ascii="Trebuchet MS" w:hAnsi="Trebuchet MS"/>
          <w:b/>
          <w:bCs/>
          <w:color w:val="E72063"/>
          <w:sz w:val="28"/>
          <w:szCs w:val="28"/>
        </w:rPr>
        <w:t xml:space="preserve">Guidance Notes </w:t>
      </w:r>
    </w:p>
    <w:p w14:paraId="7307D8FF" w14:textId="77777777" w:rsidR="00D40F11" w:rsidRPr="00FD5945" w:rsidRDefault="00D40F11" w:rsidP="00D40F11">
      <w:pPr>
        <w:pStyle w:val="PlainText"/>
        <w:rPr>
          <w:rFonts w:ascii="Trebuchet MS" w:hAnsi="Trebuchet MS"/>
        </w:rPr>
      </w:pPr>
    </w:p>
    <w:p w14:paraId="652AF5B7" w14:textId="1484DD7D" w:rsidR="0067776D" w:rsidRPr="00FD5945" w:rsidRDefault="00282D4C" w:rsidP="0067776D">
      <w:pPr>
        <w:pStyle w:val="NoSpacing"/>
        <w:jc w:val="both"/>
        <w:rPr>
          <w:rFonts w:ascii="Trebuchet MS" w:hAnsi="Trebuchet MS"/>
        </w:rPr>
      </w:pPr>
      <w:r w:rsidRPr="00FD5945">
        <w:rPr>
          <w:rFonts w:ascii="Trebuchet MS" w:hAnsi="Trebuchet MS"/>
        </w:rPr>
        <w:t>We recognise community action is taking place across the Borough and we want to encourage and support this action</w:t>
      </w:r>
      <w:r w:rsidR="0067776D" w:rsidRPr="00FD5945">
        <w:rPr>
          <w:rFonts w:ascii="Trebuchet MS" w:hAnsi="Trebuchet MS"/>
        </w:rPr>
        <w:t xml:space="preserve">.  </w:t>
      </w:r>
      <w:r w:rsidR="000D46ED" w:rsidRPr="00FD5945">
        <w:rPr>
          <w:rFonts w:ascii="Trebuchet MS" w:hAnsi="Trebuchet MS"/>
        </w:rPr>
        <w:t xml:space="preserve">We </w:t>
      </w:r>
      <w:r w:rsidR="00FD5945">
        <w:rPr>
          <w:rFonts w:ascii="Trebuchet MS" w:hAnsi="Trebuchet MS"/>
        </w:rPr>
        <w:t>are refocusing the</w:t>
      </w:r>
      <w:r w:rsidR="00064C89" w:rsidRPr="00FD5945">
        <w:rPr>
          <w:rFonts w:ascii="Trebuchet MS" w:hAnsi="Trebuchet MS"/>
          <w:b/>
          <w:bCs/>
          <w:color w:val="E72063"/>
        </w:rPr>
        <w:t xml:space="preserve"> </w:t>
      </w:r>
      <w:r w:rsidRPr="00FD5945">
        <w:rPr>
          <w:rFonts w:ascii="Trebuchet MS" w:hAnsi="Trebuchet MS"/>
        </w:rPr>
        <w:t>Community Response Fund</w:t>
      </w:r>
      <w:r w:rsidR="00064C89" w:rsidRPr="00FD5945">
        <w:rPr>
          <w:rFonts w:ascii="Trebuchet MS" w:hAnsi="Trebuchet MS"/>
        </w:rPr>
        <w:t xml:space="preserve"> </w:t>
      </w:r>
      <w:r w:rsidR="00FD5945">
        <w:rPr>
          <w:rFonts w:ascii="Trebuchet MS" w:hAnsi="Trebuchet MS"/>
        </w:rPr>
        <w:t>and introducing new priorities with an ‘</w:t>
      </w:r>
      <w:r w:rsidR="00064C89" w:rsidRPr="00FD5945">
        <w:rPr>
          <w:rFonts w:ascii="Trebuchet MS" w:hAnsi="Trebuchet MS"/>
        </w:rPr>
        <w:t>Equalities Focus</w:t>
      </w:r>
      <w:r w:rsidR="00FD5945">
        <w:rPr>
          <w:rFonts w:ascii="Trebuchet MS" w:hAnsi="Trebuchet MS"/>
        </w:rPr>
        <w:t>’</w:t>
      </w:r>
      <w:r w:rsidRPr="00FD5945">
        <w:rPr>
          <w:rFonts w:ascii="Trebuchet MS" w:hAnsi="Trebuchet MS"/>
        </w:rPr>
        <w:t xml:space="preserve"> </w:t>
      </w:r>
      <w:r w:rsidR="00A718F5">
        <w:rPr>
          <w:rFonts w:ascii="Trebuchet MS" w:hAnsi="Trebuchet MS"/>
        </w:rPr>
        <w:t>-</w:t>
      </w:r>
      <w:r w:rsidR="00D40F11" w:rsidRPr="00FD5945">
        <w:rPr>
          <w:rFonts w:ascii="Trebuchet MS" w:hAnsi="Trebuchet MS"/>
        </w:rPr>
        <w:t xml:space="preserve">available for </w:t>
      </w:r>
      <w:r w:rsidR="00DB5676" w:rsidRPr="00FD5945">
        <w:rPr>
          <w:rFonts w:ascii="Trebuchet MS" w:hAnsi="Trebuchet MS"/>
        </w:rPr>
        <w:t>Rochdale Borough</w:t>
      </w:r>
      <w:r w:rsidR="00D40F11" w:rsidRPr="00FD5945">
        <w:rPr>
          <w:rFonts w:ascii="Trebuchet MS" w:hAnsi="Trebuchet MS"/>
        </w:rPr>
        <w:t xml:space="preserve"> groups</w:t>
      </w:r>
      <w:r w:rsidR="00064C89" w:rsidRPr="00FD5945">
        <w:rPr>
          <w:rFonts w:ascii="Trebuchet MS" w:hAnsi="Trebuchet MS"/>
        </w:rPr>
        <w:t>.</w:t>
      </w:r>
    </w:p>
    <w:p w14:paraId="66CD8306" w14:textId="77777777" w:rsidR="0067776D" w:rsidRPr="00FD5945" w:rsidRDefault="0067776D" w:rsidP="0067776D">
      <w:pPr>
        <w:pStyle w:val="NoSpacing"/>
        <w:rPr>
          <w:rFonts w:ascii="Trebuchet MS" w:hAnsi="Trebuchet MS"/>
        </w:rPr>
      </w:pPr>
    </w:p>
    <w:p w14:paraId="767B9448" w14:textId="3C215BDA" w:rsidR="0067776D" w:rsidRPr="00FD5945" w:rsidRDefault="0067776D" w:rsidP="0067776D">
      <w:pPr>
        <w:pStyle w:val="NoSpacing"/>
        <w:rPr>
          <w:rFonts w:ascii="Trebuchet MS" w:hAnsi="Trebuchet MS"/>
        </w:rPr>
      </w:pPr>
      <w:r w:rsidRPr="00FD5945">
        <w:rPr>
          <w:rFonts w:ascii="Trebuchet MS" w:hAnsi="Trebuchet MS"/>
        </w:rPr>
        <w:t xml:space="preserve">You can apply for a grant for either </w:t>
      </w:r>
      <w:r w:rsidRPr="00FD5945">
        <w:rPr>
          <w:rFonts w:ascii="Trebuchet MS" w:hAnsi="Trebuchet MS"/>
          <w:u w:val="single"/>
        </w:rPr>
        <w:t>up to £200</w:t>
      </w:r>
      <w:r w:rsidRPr="00FD5945">
        <w:rPr>
          <w:rFonts w:ascii="Trebuchet MS" w:hAnsi="Trebuchet MS"/>
        </w:rPr>
        <w:t xml:space="preserve"> or </w:t>
      </w:r>
      <w:r w:rsidRPr="00FD5945">
        <w:rPr>
          <w:rFonts w:ascii="Trebuchet MS" w:hAnsi="Trebuchet MS"/>
          <w:u w:val="single"/>
        </w:rPr>
        <w:t>up to £1,000.</w:t>
      </w:r>
    </w:p>
    <w:p w14:paraId="2CB99753" w14:textId="77777777" w:rsidR="0067776D" w:rsidRPr="00FD5945" w:rsidRDefault="0067776D" w:rsidP="0067776D">
      <w:pPr>
        <w:pStyle w:val="NoSpacing"/>
        <w:rPr>
          <w:rFonts w:ascii="Trebuchet MS" w:hAnsi="Trebuchet MS"/>
        </w:rPr>
      </w:pPr>
    </w:p>
    <w:p w14:paraId="1F31A7C5" w14:textId="77777777" w:rsidR="00926455" w:rsidRPr="00FD5945" w:rsidRDefault="00926455" w:rsidP="00926455">
      <w:pPr>
        <w:pStyle w:val="NoSpacing"/>
        <w:jc w:val="both"/>
        <w:rPr>
          <w:rFonts w:ascii="Trebuchet MS" w:hAnsi="Trebuchet MS"/>
        </w:rPr>
      </w:pPr>
      <w:r w:rsidRPr="00FD5945">
        <w:rPr>
          <w:rFonts w:ascii="Trebuchet MS" w:hAnsi="Trebuchet MS"/>
        </w:rPr>
        <w:t>We want to connect local community action and help to co-ordinate efforts in response to the needs of residents. We want to fund good neighbour, mutual aid and social action projects delivered by our community, voluntary, faith and social enterprise sector of Rochdale borough, to directly support people affected by COVID19.</w:t>
      </w:r>
    </w:p>
    <w:p w14:paraId="4EFDE936" w14:textId="77777777" w:rsidR="00926455" w:rsidRPr="00FD5945" w:rsidRDefault="00926455" w:rsidP="00926455">
      <w:pPr>
        <w:pStyle w:val="NoSpacing"/>
        <w:jc w:val="both"/>
        <w:rPr>
          <w:rFonts w:ascii="Trebuchet MS" w:hAnsi="Trebuchet MS"/>
        </w:rPr>
      </w:pPr>
    </w:p>
    <w:p w14:paraId="60B842F7" w14:textId="45FD7F52" w:rsidR="00926455" w:rsidRPr="00FD5945" w:rsidRDefault="00926455" w:rsidP="00926455">
      <w:pPr>
        <w:pStyle w:val="NoSpacing"/>
        <w:jc w:val="both"/>
        <w:rPr>
          <w:rFonts w:ascii="Trebuchet MS" w:hAnsi="Trebuchet MS"/>
        </w:rPr>
      </w:pPr>
      <w:r w:rsidRPr="00FD5945">
        <w:rPr>
          <w:rFonts w:ascii="Trebuchet MS" w:hAnsi="Trebuchet MS"/>
        </w:rPr>
        <w:t xml:space="preserve">We are particularly interested in funding work that helps, </w:t>
      </w:r>
      <w:proofErr w:type="gramStart"/>
      <w:r w:rsidRPr="00FD5945">
        <w:rPr>
          <w:rFonts w:ascii="Trebuchet MS" w:hAnsi="Trebuchet MS"/>
        </w:rPr>
        <w:t>connects</w:t>
      </w:r>
      <w:proofErr w:type="gramEnd"/>
      <w:r w:rsidRPr="00FD5945">
        <w:rPr>
          <w:rFonts w:ascii="Trebuchet MS" w:hAnsi="Trebuchet MS"/>
        </w:rPr>
        <w:t xml:space="preserve"> or supports groups of people who are experiencing inequalities caused or worsened by the pandemic. </w:t>
      </w:r>
    </w:p>
    <w:p w14:paraId="17EDE5F5" w14:textId="77777777" w:rsidR="00926455" w:rsidRPr="00FD5945" w:rsidRDefault="00926455" w:rsidP="00926455">
      <w:pPr>
        <w:pStyle w:val="NoSpacing"/>
        <w:jc w:val="both"/>
        <w:rPr>
          <w:rFonts w:ascii="Trebuchet MS" w:hAnsi="Trebuchet MS"/>
        </w:rPr>
      </w:pPr>
      <w:r w:rsidRPr="00FD5945">
        <w:rPr>
          <w:rFonts w:ascii="Trebuchet MS" w:hAnsi="Trebuchet MS"/>
        </w:rPr>
        <w:t xml:space="preserve">Early emerging evidence has shown that some groups are more affected than others and we will prioritise applications that support one or more of these groups. </w:t>
      </w:r>
    </w:p>
    <w:p w14:paraId="1C9BB4E2" w14:textId="77777777" w:rsidR="00926455" w:rsidRPr="00FD5945" w:rsidRDefault="00926455" w:rsidP="00926455">
      <w:pPr>
        <w:pStyle w:val="NoSpacing"/>
        <w:jc w:val="both"/>
        <w:rPr>
          <w:rFonts w:ascii="Trebuchet MS" w:hAnsi="Trebuchet MS"/>
        </w:rPr>
      </w:pPr>
    </w:p>
    <w:p w14:paraId="1C770384" w14:textId="2E6F1DAE" w:rsidR="00EB43B0" w:rsidRPr="00EB43B0" w:rsidRDefault="00926455" w:rsidP="00926455">
      <w:pPr>
        <w:pStyle w:val="NoSpacing"/>
        <w:numPr>
          <w:ilvl w:val="0"/>
          <w:numId w:val="11"/>
        </w:numPr>
        <w:jc w:val="both"/>
        <w:rPr>
          <w:rFonts w:ascii="Trebuchet MS" w:hAnsi="Trebuchet MS"/>
        </w:rPr>
      </w:pPr>
      <w:r w:rsidRPr="00FD5945">
        <w:rPr>
          <w:rFonts w:ascii="Trebuchet MS" w:hAnsi="Trebuchet MS"/>
          <w:lang w:val="en-US"/>
        </w:rPr>
        <w:t>Older people</w:t>
      </w:r>
      <w:r w:rsidR="00F948A5" w:rsidRPr="00FD5945">
        <w:rPr>
          <w:rFonts w:ascii="Trebuchet MS" w:hAnsi="Trebuchet MS"/>
          <w:lang w:val="en-US"/>
        </w:rPr>
        <w:t xml:space="preserve"> </w:t>
      </w:r>
    </w:p>
    <w:p w14:paraId="1CCEA863" w14:textId="26CA1764" w:rsidR="00EB43B0" w:rsidRPr="00EB43B0" w:rsidRDefault="007628CD" w:rsidP="00926455">
      <w:pPr>
        <w:pStyle w:val="NoSpacing"/>
        <w:numPr>
          <w:ilvl w:val="0"/>
          <w:numId w:val="11"/>
        </w:numPr>
        <w:jc w:val="both"/>
        <w:rPr>
          <w:rFonts w:ascii="Trebuchet MS" w:hAnsi="Trebuchet MS"/>
        </w:rPr>
      </w:pPr>
      <w:r w:rsidRPr="00EB43B0">
        <w:rPr>
          <w:rFonts w:ascii="Trebuchet MS" w:hAnsi="Trebuchet MS"/>
          <w:lang w:val="en-US"/>
        </w:rPr>
        <w:t xml:space="preserve">Black Asian and Minority Ethnic (BAME) </w:t>
      </w:r>
      <w:r w:rsidR="00F948A5" w:rsidRPr="00FD5945">
        <w:rPr>
          <w:rFonts w:ascii="Trebuchet MS" w:hAnsi="Trebuchet MS"/>
          <w:lang w:val="en-US"/>
        </w:rPr>
        <w:t>groups</w:t>
      </w:r>
      <w:r w:rsidRPr="00EB43B0">
        <w:rPr>
          <w:rFonts w:ascii="Trebuchet MS" w:hAnsi="Trebuchet MS"/>
          <w:lang w:val="en-US"/>
        </w:rPr>
        <w:t xml:space="preserve"> </w:t>
      </w:r>
    </w:p>
    <w:p w14:paraId="3F1E91BE" w14:textId="33ADD272" w:rsidR="00EB43B0" w:rsidRPr="00EB43B0" w:rsidRDefault="00F948A5" w:rsidP="00926455">
      <w:pPr>
        <w:pStyle w:val="NoSpacing"/>
        <w:numPr>
          <w:ilvl w:val="0"/>
          <w:numId w:val="11"/>
        </w:numPr>
        <w:jc w:val="both"/>
        <w:rPr>
          <w:rFonts w:ascii="Trebuchet MS" w:hAnsi="Trebuchet MS"/>
        </w:rPr>
      </w:pPr>
      <w:r w:rsidRPr="00FD5945">
        <w:rPr>
          <w:rFonts w:ascii="Trebuchet MS" w:hAnsi="Trebuchet MS"/>
          <w:lang w:val="en-US"/>
        </w:rPr>
        <w:t xml:space="preserve">People who live in </w:t>
      </w:r>
      <w:r w:rsidR="00926455" w:rsidRPr="00FD5945">
        <w:rPr>
          <w:rFonts w:ascii="Trebuchet MS" w:hAnsi="Trebuchet MS"/>
          <w:lang w:val="en-US"/>
        </w:rPr>
        <w:t>low</w:t>
      </w:r>
      <w:r w:rsidRPr="00FD5945">
        <w:rPr>
          <w:rFonts w:ascii="Trebuchet MS" w:hAnsi="Trebuchet MS"/>
          <w:lang w:val="en-US"/>
        </w:rPr>
        <w:t>-</w:t>
      </w:r>
      <w:r w:rsidR="00926455" w:rsidRPr="00FD5945">
        <w:rPr>
          <w:rFonts w:ascii="Trebuchet MS" w:hAnsi="Trebuchet MS"/>
          <w:lang w:val="en-US"/>
        </w:rPr>
        <w:t>income areas</w:t>
      </w:r>
      <w:r w:rsidRPr="00FD5945">
        <w:rPr>
          <w:rFonts w:ascii="Trebuchet MS" w:hAnsi="Trebuchet MS"/>
          <w:lang w:val="en-US"/>
        </w:rPr>
        <w:t xml:space="preserve"> or </w:t>
      </w:r>
      <w:r w:rsidR="00926455" w:rsidRPr="00FD5945">
        <w:rPr>
          <w:rFonts w:ascii="Trebuchet MS" w:hAnsi="Trebuchet MS"/>
          <w:lang w:val="en-US"/>
        </w:rPr>
        <w:t>vulnerable settings</w:t>
      </w:r>
    </w:p>
    <w:p w14:paraId="12C9ED35" w14:textId="77777777" w:rsidR="00EB43B0" w:rsidRPr="00EB43B0" w:rsidRDefault="007628CD" w:rsidP="00926455">
      <w:pPr>
        <w:pStyle w:val="NoSpacing"/>
        <w:numPr>
          <w:ilvl w:val="0"/>
          <w:numId w:val="11"/>
        </w:numPr>
        <w:jc w:val="both"/>
        <w:rPr>
          <w:rFonts w:ascii="Trebuchet MS" w:hAnsi="Trebuchet MS"/>
        </w:rPr>
      </w:pPr>
      <w:r w:rsidRPr="00EB43B0">
        <w:rPr>
          <w:rFonts w:ascii="Trebuchet MS" w:hAnsi="Trebuchet MS"/>
          <w:lang w:val="en-US"/>
        </w:rPr>
        <w:t xml:space="preserve">The impact of other ‘co-morbidities’ (other underlying diseases) </w:t>
      </w:r>
    </w:p>
    <w:p w14:paraId="679DD328" w14:textId="77777777" w:rsidR="00926455" w:rsidRPr="00FD5945" w:rsidRDefault="00926455" w:rsidP="00926455">
      <w:pPr>
        <w:pStyle w:val="NoSpacing"/>
        <w:jc w:val="both"/>
        <w:rPr>
          <w:rFonts w:ascii="Trebuchet MS" w:hAnsi="Trebuchet MS"/>
          <w:b/>
          <w:bCs/>
        </w:rPr>
      </w:pPr>
    </w:p>
    <w:p w14:paraId="2CBA9B9F" w14:textId="77777777" w:rsidR="00926455" w:rsidRPr="00FD5945" w:rsidRDefault="00926455" w:rsidP="00926455">
      <w:pPr>
        <w:pStyle w:val="NoSpacing"/>
        <w:jc w:val="both"/>
        <w:rPr>
          <w:rFonts w:ascii="Trebuchet MS" w:hAnsi="Trebuchet MS"/>
          <w:b/>
          <w:bCs/>
        </w:rPr>
      </w:pPr>
      <w:r w:rsidRPr="00FD5945">
        <w:rPr>
          <w:rFonts w:ascii="Trebuchet MS" w:hAnsi="Trebuchet MS"/>
          <w:b/>
          <w:bCs/>
        </w:rPr>
        <w:t>These reports give more information about these groups.</w:t>
      </w:r>
    </w:p>
    <w:p w14:paraId="0DF0E06E" w14:textId="77777777" w:rsidR="00926455" w:rsidRPr="00EB43B0" w:rsidRDefault="00926455" w:rsidP="00926455">
      <w:pPr>
        <w:pStyle w:val="NoSpacing"/>
        <w:jc w:val="both"/>
        <w:rPr>
          <w:rFonts w:ascii="Trebuchet MS" w:hAnsi="Trebuchet MS"/>
        </w:rPr>
      </w:pPr>
      <w:r w:rsidRPr="00EB43B0">
        <w:rPr>
          <w:rFonts w:ascii="Trebuchet MS" w:hAnsi="Trebuchet MS"/>
          <w:b/>
          <w:bCs/>
        </w:rPr>
        <w:t>Disparities in the risk and outcomes from Covid-19</w:t>
      </w:r>
    </w:p>
    <w:p w14:paraId="6CDEA23E" w14:textId="77777777" w:rsidR="00926455" w:rsidRPr="00FD5945" w:rsidRDefault="007E300C" w:rsidP="00926455">
      <w:pPr>
        <w:pStyle w:val="NoSpacing"/>
        <w:jc w:val="both"/>
        <w:rPr>
          <w:rFonts w:ascii="Trebuchet MS" w:hAnsi="Trebuchet MS"/>
        </w:rPr>
      </w:pPr>
      <w:hyperlink w:history="1">
        <w:r w:rsidR="007628CD" w:rsidRPr="00EB43B0">
          <w:rPr>
            <w:rStyle w:val="Hyperlink"/>
            <w:rFonts w:ascii="Trebuchet MS" w:hAnsi="Trebuchet MS"/>
          </w:rPr>
          <w:t>https://</w:t>
        </w:r>
      </w:hyperlink>
      <w:hyperlink r:id="rId7" w:history="1">
        <w:r w:rsidR="007628CD" w:rsidRPr="00EB43B0">
          <w:rPr>
            <w:rStyle w:val="Hyperlink"/>
            <w:rFonts w:ascii="Trebuchet MS" w:hAnsi="Trebuchet MS"/>
          </w:rPr>
          <w:t>assets.publishing.service.gov.uk/government/uploads/system/uploads/attachment_data/file/892085/disparities_review.pdf</w:t>
        </w:r>
      </w:hyperlink>
      <w:r w:rsidR="007628CD" w:rsidRPr="00EB43B0">
        <w:rPr>
          <w:rFonts w:ascii="Trebuchet MS" w:hAnsi="Trebuchet MS"/>
        </w:rPr>
        <w:t xml:space="preserve"> </w:t>
      </w:r>
    </w:p>
    <w:p w14:paraId="34030CE6" w14:textId="77777777" w:rsidR="00EB43B0" w:rsidRPr="00EB43B0" w:rsidRDefault="007E300C" w:rsidP="00926455">
      <w:pPr>
        <w:pStyle w:val="NoSpacing"/>
        <w:jc w:val="both"/>
        <w:rPr>
          <w:rFonts w:ascii="Trebuchet MS" w:hAnsi="Trebuchet MS"/>
        </w:rPr>
      </w:pPr>
    </w:p>
    <w:p w14:paraId="7412AE71" w14:textId="77777777" w:rsidR="00926455" w:rsidRPr="00EB43B0" w:rsidRDefault="00926455" w:rsidP="00926455">
      <w:pPr>
        <w:pStyle w:val="NoSpacing"/>
        <w:jc w:val="both"/>
        <w:rPr>
          <w:rFonts w:ascii="Trebuchet MS" w:hAnsi="Trebuchet MS"/>
        </w:rPr>
      </w:pPr>
      <w:r w:rsidRPr="00EB43B0">
        <w:rPr>
          <w:rFonts w:ascii="Trebuchet MS" w:hAnsi="Trebuchet MS"/>
          <w:b/>
          <w:bCs/>
          <w:lang w:val="en-US"/>
        </w:rPr>
        <w:t xml:space="preserve">Beyond the data: Understanding the impact of COVID-19 on BAME groups </w:t>
      </w:r>
    </w:p>
    <w:p w14:paraId="0BBB0B8E" w14:textId="77777777" w:rsidR="00926455" w:rsidRPr="00EB43B0" w:rsidRDefault="007E300C" w:rsidP="00926455">
      <w:pPr>
        <w:pStyle w:val="NoSpacing"/>
        <w:jc w:val="both"/>
        <w:rPr>
          <w:rFonts w:ascii="Trebuchet MS" w:hAnsi="Trebuchet MS"/>
        </w:rPr>
      </w:pPr>
      <w:hyperlink r:id="rId8" w:history="1">
        <w:r w:rsidR="00926455" w:rsidRPr="00EB43B0">
          <w:rPr>
            <w:rStyle w:val="Hyperlink"/>
            <w:rFonts w:ascii="Trebuchet MS" w:hAnsi="Trebuchet MS"/>
          </w:rPr>
          <w:t>https</w:t>
        </w:r>
      </w:hyperlink>
      <w:hyperlink r:id="rId9" w:history="1">
        <w:r w:rsidR="00926455" w:rsidRPr="00EB43B0">
          <w:rPr>
            <w:rStyle w:val="Hyperlink"/>
            <w:rFonts w:ascii="Trebuchet MS" w:hAnsi="Trebuchet MS"/>
          </w:rPr>
          <w:t>://</w:t>
        </w:r>
      </w:hyperlink>
      <w:hyperlink r:id="rId10" w:history="1">
        <w:r w:rsidR="00926455" w:rsidRPr="00EB43B0">
          <w:rPr>
            <w:rStyle w:val="Hyperlink"/>
            <w:rFonts w:ascii="Trebuchet MS" w:hAnsi="Trebuchet MS"/>
          </w:rPr>
          <w:t>assets.publishing.service.gov.uk/government/uploads/system/uploads/attachment_data/file/892376/COVID_stakeholder_engagement_synthesis_beyond_the_data.pdf</w:t>
        </w:r>
      </w:hyperlink>
      <w:r w:rsidR="00926455" w:rsidRPr="00EB43B0">
        <w:rPr>
          <w:rFonts w:ascii="Trebuchet MS" w:hAnsi="Trebuchet MS"/>
        </w:rPr>
        <w:t xml:space="preserve"> </w:t>
      </w:r>
    </w:p>
    <w:p w14:paraId="2F8BD8E9" w14:textId="77777777" w:rsidR="0067776D" w:rsidRPr="00FD5945" w:rsidRDefault="0067776D" w:rsidP="0067776D">
      <w:pPr>
        <w:pStyle w:val="NoSpacing"/>
        <w:rPr>
          <w:rFonts w:ascii="Trebuchet MS" w:hAnsi="Trebuchet MS"/>
        </w:rPr>
      </w:pPr>
    </w:p>
    <w:p w14:paraId="0141AECC" w14:textId="4FDB6A5A" w:rsidR="0067776D" w:rsidRPr="00FD5945" w:rsidRDefault="0067776D" w:rsidP="0067776D">
      <w:pPr>
        <w:pStyle w:val="NoSpacing"/>
        <w:rPr>
          <w:rFonts w:ascii="Trebuchet MS" w:hAnsi="Trebuchet MS"/>
        </w:rPr>
      </w:pPr>
      <w:r w:rsidRPr="00FD5945">
        <w:rPr>
          <w:rFonts w:ascii="Trebuchet MS" w:hAnsi="Trebuchet MS"/>
        </w:rPr>
        <w:t xml:space="preserve">We can only support projects that are working to government safety guidance, please see </w:t>
      </w:r>
      <w:hyperlink r:id="rId11" w:history="1">
        <w:r w:rsidRPr="00FD5945">
          <w:rPr>
            <w:rStyle w:val="Hyperlink"/>
            <w:rFonts w:ascii="Trebuchet MS" w:hAnsi="Trebuchet MS"/>
            <w:b/>
            <w:i/>
          </w:rPr>
          <w:t>how to help safely government guidance</w:t>
        </w:r>
      </w:hyperlink>
    </w:p>
    <w:p w14:paraId="71296788" w14:textId="77777777" w:rsidR="0067776D" w:rsidRPr="00FD5945" w:rsidRDefault="0067776D" w:rsidP="00EB41C3">
      <w:pPr>
        <w:pStyle w:val="NoSpacing"/>
        <w:jc w:val="both"/>
        <w:rPr>
          <w:rFonts w:ascii="Trebuchet MS" w:hAnsi="Trebuchet MS"/>
        </w:rPr>
      </w:pPr>
    </w:p>
    <w:p w14:paraId="723C83E8" w14:textId="4DCD931B" w:rsidR="00EB41C3" w:rsidRPr="00FD5945" w:rsidRDefault="00282D4C" w:rsidP="00EB41C3">
      <w:pPr>
        <w:pStyle w:val="PlainText"/>
        <w:jc w:val="both"/>
        <w:rPr>
          <w:rFonts w:ascii="Trebuchet MS" w:hAnsi="Trebuchet MS"/>
        </w:rPr>
      </w:pPr>
      <w:r w:rsidRPr="00FD5945">
        <w:rPr>
          <w:rFonts w:ascii="Trebuchet MS" w:hAnsi="Trebuchet MS"/>
        </w:rPr>
        <w:t>Unfortunately, t</w:t>
      </w:r>
      <w:r w:rsidR="00EB41C3" w:rsidRPr="00FD5945">
        <w:rPr>
          <w:rFonts w:ascii="Trebuchet MS" w:hAnsi="Trebuchet MS"/>
        </w:rPr>
        <w:t xml:space="preserve">his Community Response Fund </w:t>
      </w:r>
      <w:r w:rsidRPr="00FD5945">
        <w:rPr>
          <w:rFonts w:ascii="Trebuchet MS" w:hAnsi="Trebuchet MS"/>
        </w:rPr>
        <w:t>can</w:t>
      </w:r>
      <w:r w:rsidR="00EB41C3" w:rsidRPr="00FD5945">
        <w:rPr>
          <w:rFonts w:ascii="Trebuchet MS" w:hAnsi="Trebuchet MS"/>
        </w:rPr>
        <w:t xml:space="preserve">not be used to support organisations </w:t>
      </w:r>
      <w:r w:rsidR="00110E65" w:rsidRPr="00FD5945">
        <w:rPr>
          <w:rFonts w:ascii="Trebuchet MS" w:hAnsi="Trebuchet MS"/>
        </w:rPr>
        <w:t xml:space="preserve">longer term </w:t>
      </w:r>
      <w:r w:rsidR="00EB41C3" w:rsidRPr="00FD5945">
        <w:rPr>
          <w:rFonts w:ascii="Trebuchet MS" w:hAnsi="Trebuchet MS"/>
        </w:rPr>
        <w:t xml:space="preserve">financial </w:t>
      </w:r>
      <w:r w:rsidR="00110E65" w:rsidRPr="00FD5945">
        <w:rPr>
          <w:rFonts w:ascii="Trebuchet MS" w:hAnsi="Trebuchet MS"/>
        </w:rPr>
        <w:t xml:space="preserve">sustainability, but please be assured we are working with </w:t>
      </w:r>
      <w:r w:rsidR="0067776D" w:rsidRPr="00FD5945">
        <w:rPr>
          <w:rFonts w:ascii="Trebuchet MS" w:hAnsi="Trebuchet MS"/>
        </w:rPr>
        <w:t>local and national partners to try to secure this.</w:t>
      </w:r>
    </w:p>
    <w:p w14:paraId="6291588F" w14:textId="7CFF5969" w:rsidR="0067776D" w:rsidRPr="00FD5945" w:rsidRDefault="0067776D" w:rsidP="00EB41C3">
      <w:pPr>
        <w:pStyle w:val="PlainText"/>
        <w:jc w:val="both"/>
        <w:rPr>
          <w:rFonts w:ascii="Trebuchet MS" w:hAnsi="Trebuchet MS"/>
        </w:rPr>
      </w:pPr>
    </w:p>
    <w:p w14:paraId="5F2BF41C" w14:textId="77777777" w:rsidR="00926455" w:rsidRPr="00FD5945" w:rsidRDefault="0067776D" w:rsidP="0067776D">
      <w:pPr>
        <w:spacing w:after="240" w:line="240" w:lineRule="auto"/>
        <w:rPr>
          <w:rFonts w:ascii="Trebuchet MS" w:eastAsia="Times New Roman" w:hAnsi="Trebuchet MS" w:cs="Times New Roman"/>
          <w:sz w:val="24"/>
          <w:szCs w:val="24"/>
          <w:lang w:eastAsia="en-GB"/>
        </w:rPr>
      </w:pPr>
      <w:r w:rsidRPr="00FD5945">
        <w:rPr>
          <w:rFonts w:ascii="Trebuchet MS" w:eastAsia="Times New Roman" w:hAnsi="Trebuchet MS" w:cs="Times New Roman"/>
          <w:sz w:val="24"/>
          <w:szCs w:val="24"/>
          <w:lang w:eastAsia="en-GB"/>
        </w:rPr>
        <w:t>Only one application for fu</w:t>
      </w:r>
      <w:r w:rsidR="00926455" w:rsidRPr="00FD5945">
        <w:rPr>
          <w:rFonts w:ascii="Trebuchet MS" w:eastAsia="Times New Roman" w:hAnsi="Trebuchet MS" w:cs="Times New Roman"/>
          <w:sz w:val="24"/>
          <w:szCs w:val="24"/>
          <w:lang w:eastAsia="en-GB"/>
        </w:rPr>
        <w:t>nding to the Community Response Fund -Equalities Focus</w:t>
      </w:r>
      <w:r w:rsidRPr="00FD5945">
        <w:rPr>
          <w:rFonts w:ascii="Trebuchet MS" w:eastAsia="Times New Roman" w:hAnsi="Trebuchet MS" w:cs="Times New Roman"/>
          <w:sz w:val="24"/>
          <w:szCs w:val="24"/>
          <w:lang w:eastAsia="en-GB"/>
        </w:rPr>
        <w:t xml:space="preserve"> will be accepted per group or organisation</w:t>
      </w:r>
      <w:r w:rsidR="00926455" w:rsidRPr="00FD5945">
        <w:rPr>
          <w:rFonts w:ascii="Trebuchet MS" w:eastAsia="Times New Roman" w:hAnsi="Trebuchet MS" w:cs="Times New Roman"/>
          <w:sz w:val="24"/>
          <w:szCs w:val="24"/>
          <w:lang w:eastAsia="en-GB"/>
        </w:rPr>
        <w:t>.</w:t>
      </w:r>
    </w:p>
    <w:p w14:paraId="1F6199F4" w14:textId="74618DD9" w:rsidR="00092576" w:rsidRDefault="00926455" w:rsidP="0067776D">
      <w:pPr>
        <w:spacing w:after="240" w:line="240" w:lineRule="auto"/>
        <w:rPr>
          <w:rFonts w:ascii="Trebuchet MS" w:eastAsia="Times New Roman" w:hAnsi="Trebuchet MS" w:cs="Times New Roman"/>
          <w:sz w:val="24"/>
          <w:szCs w:val="24"/>
          <w:lang w:eastAsia="en-GB"/>
        </w:rPr>
      </w:pPr>
      <w:r w:rsidRPr="00FD5945">
        <w:rPr>
          <w:rFonts w:ascii="Trebuchet MS" w:eastAsia="Times New Roman" w:hAnsi="Trebuchet MS" w:cs="Times New Roman"/>
          <w:sz w:val="24"/>
          <w:szCs w:val="24"/>
          <w:lang w:eastAsia="en-GB"/>
        </w:rPr>
        <w:t xml:space="preserve">HOWEVER if you have already received a Community Response Fund </w:t>
      </w:r>
      <w:r w:rsidR="00910EBE" w:rsidRPr="00FD5945">
        <w:rPr>
          <w:rFonts w:ascii="Trebuchet MS" w:eastAsia="Times New Roman" w:hAnsi="Trebuchet MS" w:cs="Times New Roman"/>
          <w:sz w:val="24"/>
          <w:szCs w:val="24"/>
          <w:lang w:eastAsia="en-GB"/>
        </w:rPr>
        <w:t>AND</w:t>
      </w:r>
      <w:r w:rsidRPr="00FD5945">
        <w:rPr>
          <w:rFonts w:ascii="Trebuchet MS" w:eastAsia="Times New Roman" w:hAnsi="Trebuchet MS" w:cs="Times New Roman"/>
          <w:sz w:val="24"/>
          <w:szCs w:val="24"/>
          <w:lang w:eastAsia="en-GB"/>
        </w:rPr>
        <w:t xml:space="preserve"> your project meets the above </w:t>
      </w:r>
      <w:proofErr w:type="gramStart"/>
      <w:r w:rsidRPr="00FD5945">
        <w:rPr>
          <w:rFonts w:ascii="Trebuchet MS" w:eastAsia="Times New Roman" w:hAnsi="Trebuchet MS" w:cs="Times New Roman"/>
          <w:sz w:val="24"/>
          <w:szCs w:val="24"/>
          <w:lang w:eastAsia="en-GB"/>
        </w:rPr>
        <w:t xml:space="preserve">criteria, </w:t>
      </w:r>
      <w:r w:rsidR="00910EBE" w:rsidRPr="00FD5945">
        <w:rPr>
          <w:rFonts w:ascii="Trebuchet MS" w:eastAsia="Times New Roman" w:hAnsi="Trebuchet MS" w:cs="Times New Roman"/>
          <w:sz w:val="24"/>
          <w:szCs w:val="24"/>
          <w:lang w:eastAsia="en-GB"/>
        </w:rPr>
        <w:t xml:space="preserve"> y</w:t>
      </w:r>
      <w:r w:rsidRPr="00FD5945">
        <w:rPr>
          <w:rFonts w:ascii="Trebuchet MS" w:eastAsia="Times New Roman" w:hAnsi="Trebuchet MS" w:cs="Times New Roman"/>
          <w:sz w:val="24"/>
          <w:szCs w:val="24"/>
          <w:lang w:eastAsia="en-GB"/>
        </w:rPr>
        <w:t>ou</w:t>
      </w:r>
      <w:proofErr w:type="gramEnd"/>
      <w:r w:rsidRPr="00FD5945">
        <w:rPr>
          <w:rFonts w:ascii="Trebuchet MS" w:eastAsia="Times New Roman" w:hAnsi="Trebuchet MS" w:cs="Times New Roman"/>
          <w:sz w:val="24"/>
          <w:szCs w:val="24"/>
          <w:lang w:eastAsia="en-GB"/>
        </w:rPr>
        <w:t xml:space="preserve"> may also apply for a Community Response Fund -Equalities Focus.</w:t>
      </w:r>
    </w:p>
    <w:p w14:paraId="52966F69" w14:textId="703CE070" w:rsidR="00926455" w:rsidRDefault="00926455" w:rsidP="0067776D">
      <w:pPr>
        <w:spacing w:after="240" w:line="240" w:lineRule="auto"/>
        <w:rPr>
          <w:rFonts w:ascii="Trebuchet MS" w:eastAsia="Times New Roman" w:hAnsi="Trebuchet MS" w:cs="Times New Roman"/>
          <w:sz w:val="24"/>
          <w:szCs w:val="24"/>
          <w:lang w:eastAsia="en-GB"/>
        </w:rPr>
      </w:pPr>
    </w:p>
    <w:p w14:paraId="6A7B2BF6" w14:textId="77777777" w:rsidR="00926455" w:rsidRPr="007C343C" w:rsidRDefault="00926455" w:rsidP="0067776D">
      <w:pPr>
        <w:spacing w:after="240" w:line="240" w:lineRule="auto"/>
        <w:rPr>
          <w:rFonts w:ascii="Trebuchet MS" w:eastAsia="Times New Roman" w:hAnsi="Trebuchet MS" w:cs="Times New Roman"/>
          <w:sz w:val="24"/>
          <w:szCs w:val="24"/>
          <w:lang w:eastAsia="en-GB"/>
        </w:rPr>
      </w:pPr>
    </w:p>
    <w:tbl>
      <w:tblPr>
        <w:tblStyle w:val="TableGrid"/>
        <w:tblW w:w="0" w:type="auto"/>
        <w:tblLook w:val="04A0" w:firstRow="1" w:lastRow="0" w:firstColumn="1" w:lastColumn="0" w:noHBand="0" w:noVBand="1"/>
      </w:tblPr>
      <w:tblGrid>
        <w:gridCol w:w="4508"/>
        <w:gridCol w:w="4508"/>
      </w:tblGrid>
      <w:tr w:rsidR="00092576" w:rsidRPr="007C343C" w14:paraId="2DF2C522" w14:textId="77777777" w:rsidTr="00092576">
        <w:tc>
          <w:tcPr>
            <w:tcW w:w="4508" w:type="dxa"/>
            <w:shd w:val="clear" w:color="auto" w:fill="E72063"/>
          </w:tcPr>
          <w:p w14:paraId="7630AA0C" w14:textId="167FF1E9" w:rsidR="00092576" w:rsidRPr="007C343C" w:rsidRDefault="00092576" w:rsidP="00092576">
            <w:pPr>
              <w:pStyle w:val="PlainText"/>
              <w:ind w:left="720"/>
              <w:jc w:val="both"/>
              <w:rPr>
                <w:rFonts w:ascii="Trebuchet MS" w:hAnsi="Trebuchet MS"/>
                <w:b/>
                <w:bCs/>
                <w:color w:val="FFFFFF" w:themeColor="background1"/>
              </w:rPr>
            </w:pPr>
            <w:r w:rsidRPr="007C343C">
              <w:rPr>
                <w:rFonts w:ascii="Trebuchet MS" w:hAnsi="Trebuchet MS"/>
                <w:b/>
                <w:bCs/>
                <w:color w:val="FFFFFF" w:themeColor="background1"/>
              </w:rPr>
              <w:lastRenderedPageBreak/>
              <w:t>Amount of application</w:t>
            </w:r>
          </w:p>
        </w:tc>
        <w:tc>
          <w:tcPr>
            <w:tcW w:w="4508" w:type="dxa"/>
            <w:shd w:val="clear" w:color="auto" w:fill="E72063"/>
          </w:tcPr>
          <w:p w14:paraId="43F876CF" w14:textId="2C52906E" w:rsidR="00092576" w:rsidRPr="007C343C" w:rsidRDefault="00092576" w:rsidP="000D46ED">
            <w:pPr>
              <w:pStyle w:val="PlainText"/>
              <w:jc w:val="both"/>
              <w:rPr>
                <w:rFonts w:ascii="Trebuchet MS" w:hAnsi="Trebuchet MS"/>
                <w:b/>
                <w:bCs/>
                <w:color w:val="FFFFFF" w:themeColor="background1"/>
              </w:rPr>
            </w:pPr>
            <w:r w:rsidRPr="007C343C">
              <w:rPr>
                <w:rFonts w:ascii="Trebuchet MS" w:hAnsi="Trebuchet MS"/>
                <w:b/>
                <w:bCs/>
                <w:color w:val="FFFFFF" w:themeColor="background1"/>
              </w:rPr>
              <w:t>Decision timeframe</w:t>
            </w:r>
          </w:p>
        </w:tc>
      </w:tr>
      <w:tr w:rsidR="00092576" w:rsidRPr="007C343C" w14:paraId="4B30436C" w14:textId="77777777" w:rsidTr="00092576">
        <w:tc>
          <w:tcPr>
            <w:tcW w:w="4508" w:type="dxa"/>
          </w:tcPr>
          <w:p w14:paraId="5D1FA403" w14:textId="77777777" w:rsidR="00092576" w:rsidRPr="007C343C" w:rsidRDefault="00092576" w:rsidP="00092576">
            <w:pPr>
              <w:pStyle w:val="PlainText"/>
              <w:jc w:val="both"/>
              <w:rPr>
                <w:rFonts w:ascii="Trebuchet MS" w:hAnsi="Trebuchet MS"/>
              </w:rPr>
            </w:pPr>
            <w:r w:rsidRPr="007C343C">
              <w:rPr>
                <w:rFonts w:ascii="Trebuchet MS" w:hAnsi="Trebuchet MS"/>
              </w:rPr>
              <w:t>Applications for up to £200 aimed at neighbourhood groups, volunteers and other community action</w:t>
            </w:r>
          </w:p>
          <w:p w14:paraId="1520E364" w14:textId="77777777" w:rsidR="00092576" w:rsidRPr="007C343C" w:rsidRDefault="00092576" w:rsidP="00092576">
            <w:pPr>
              <w:pStyle w:val="PlainText"/>
              <w:jc w:val="both"/>
              <w:rPr>
                <w:rFonts w:ascii="Trebuchet MS" w:hAnsi="Trebuchet MS"/>
              </w:rPr>
            </w:pPr>
          </w:p>
        </w:tc>
        <w:tc>
          <w:tcPr>
            <w:tcW w:w="4508" w:type="dxa"/>
          </w:tcPr>
          <w:p w14:paraId="29C023F5" w14:textId="3DD08787" w:rsidR="007C343C" w:rsidRPr="007C343C" w:rsidRDefault="00092576" w:rsidP="000D46ED">
            <w:pPr>
              <w:pStyle w:val="PlainText"/>
              <w:jc w:val="both"/>
              <w:rPr>
                <w:rFonts w:ascii="Trebuchet MS" w:hAnsi="Trebuchet MS"/>
              </w:rPr>
            </w:pPr>
            <w:r w:rsidRPr="007C343C">
              <w:rPr>
                <w:rFonts w:ascii="Trebuchet MS" w:hAnsi="Trebuchet MS"/>
              </w:rPr>
              <w:t xml:space="preserve">We aim to </w:t>
            </w:r>
            <w:proofErr w:type="gramStart"/>
            <w:r w:rsidRPr="007C343C">
              <w:rPr>
                <w:rFonts w:ascii="Trebuchet MS" w:hAnsi="Trebuchet MS"/>
              </w:rPr>
              <w:t>make a decision</w:t>
            </w:r>
            <w:proofErr w:type="gramEnd"/>
            <w:r w:rsidRPr="007C343C">
              <w:rPr>
                <w:rFonts w:ascii="Trebuchet MS" w:hAnsi="Trebuchet MS"/>
              </w:rPr>
              <w:t xml:space="preserve"> </w:t>
            </w:r>
            <w:r w:rsidR="007C343C" w:rsidRPr="007C343C">
              <w:rPr>
                <w:rFonts w:ascii="Trebuchet MS" w:hAnsi="Trebuchet MS"/>
              </w:rPr>
              <w:t>in one working day on</w:t>
            </w:r>
            <w:r w:rsidRPr="007C343C">
              <w:rPr>
                <w:rFonts w:ascii="Trebuchet MS" w:hAnsi="Trebuchet MS"/>
              </w:rPr>
              <w:t xml:space="preserve"> receipt to Action Together</w:t>
            </w:r>
          </w:p>
        </w:tc>
      </w:tr>
      <w:tr w:rsidR="00092576" w:rsidRPr="007C343C" w14:paraId="0B0A92B3" w14:textId="77777777" w:rsidTr="00092576">
        <w:tc>
          <w:tcPr>
            <w:tcW w:w="4508" w:type="dxa"/>
          </w:tcPr>
          <w:p w14:paraId="1F320DEB" w14:textId="77777777" w:rsidR="00092576" w:rsidRPr="007C343C" w:rsidRDefault="00092576" w:rsidP="00092576">
            <w:pPr>
              <w:pStyle w:val="PlainText"/>
              <w:jc w:val="both"/>
              <w:rPr>
                <w:rFonts w:ascii="Trebuchet MS" w:hAnsi="Trebuchet MS"/>
              </w:rPr>
            </w:pPr>
            <w:r w:rsidRPr="007C343C">
              <w:rPr>
                <w:rFonts w:ascii="Trebuchet MS" w:hAnsi="Trebuchet MS"/>
              </w:rPr>
              <w:t>Applications up to £1000 aimed at community, voluntary, faith and social enterprise organisations who are providing something new to help local people</w:t>
            </w:r>
          </w:p>
          <w:p w14:paraId="55816C56" w14:textId="77777777" w:rsidR="00092576" w:rsidRPr="007C343C" w:rsidRDefault="00092576" w:rsidP="000D46ED">
            <w:pPr>
              <w:pStyle w:val="PlainText"/>
              <w:jc w:val="both"/>
              <w:rPr>
                <w:rFonts w:ascii="Trebuchet MS" w:hAnsi="Trebuchet MS"/>
              </w:rPr>
            </w:pPr>
          </w:p>
        </w:tc>
        <w:tc>
          <w:tcPr>
            <w:tcW w:w="4508" w:type="dxa"/>
          </w:tcPr>
          <w:p w14:paraId="22612F5D" w14:textId="77777777" w:rsidR="00092576" w:rsidRPr="007C343C" w:rsidRDefault="00092576" w:rsidP="000D46ED">
            <w:pPr>
              <w:pStyle w:val="PlainText"/>
              <w:jc w:val="both"/>
              <w:rPr>
                <w:rFonts w:ascii="Trebuchet MS" w:hAnsi="Trebuchet MS"/>
              </w:rPr>
            </w:pPr>
            <w:r w:rsidRPr="007C343C">
              <w:rPr>
                <w:rFonts w:ascii="Trebuchet MS" w:hAnsi="Trebuchet MS"/>
              </w:rPr>
              <w:t xml:space="preserve">We aim to </w:t>
            </w:r>
            <w:proofErr w:type="gramStart"/>
            <w:r w:rsidRPr="007C343C">
              <w:rPr>
                <w:rFonts w:ascii="Trebuchet MS" w:hAnsi="Trebuchet MS"/>
              </w:rPr>
              <w:t>make a decision</w:t>
            </w:r>
            <w:proofErr w:type="gramEnd"/>
            <w:r w:rsidRPr="007C343C">
              <w:rPr>
                <w:rFonts w:ascii="Trebuchet MS" w:hAnsi="Trebuchet MS"/>
              </w:rPr>
              <w:t xml:space="preserve"> within 3 working days of the application. </w:t>
            </w:r>
          </w:p>
          <w:p w14:paraId="612607EA" w14:textId="5F0704EE" w:rsidR="00092576" w:rsidRPr="007C343C" w:rsidRDefault="00092576" w:rsidP="000D46ED">
            <w:pPr>
              <w:pStyle w:val="PlainText"/>
              <w:jc w:val="both"/>
              <w:rPr>
                <w:rFonts w:ascii="Trebuchet MS" w:hAnsi="Trebuchet MS"/>
              </w:rPr>
            </w:pPr>
          </w:p>
        </w:tc>
      </w:tr>
    </w:tbl>
    <w:p w14:paraId="7621FFBD" w14:textId="2EBE9F51" w:rsidR="000D46ED" w:rsidRPr="007C343C" w:rsidRDefault="000D46ED" w:rsidP="00092576">
      <w:pPr>
        <w:pStyle w:val="PlainText"/>
        <w:jc w:val="both"/>
        <w:rPr>
          <w:rFonts w:ascii="Trebuchet MS" w:hAnsi="Trebuchet MS"/>
        </w:rPr>
      </w:pPr>
    </w:p>
    <w:p w14:paraId="4AC69709" w14:textId="77777777" w:rsidR="008B0BCF" w:rsidRPr="007C343C" w:rsidRDefault="008B0BCF" w:rsidP="00282D4C">
      <w:pPr>
        <w:spacing w:after="0" w:line="360" w:lineRule="auto"/>
        <w:jc w:val="both"/>
        <w:rPr>
          <w:rFonts w:ascii="Trebuchet MS" w:hAnsi="Trebuchet MS" w:cs="Arial"/>
          <w:b/>
          <w:color w:val="E72063"/>
        </w:rPr>
      </w:pPr>
      <w:r w:rsidRPr="007C343C">
        <w:rPr>
          <w:rFonts w:ascii="Trebuchet MS" w:hAnsi="Trebuchet MS" w:cs="Arial"/>
          <w:b/>
          <w:color w:val="E72063"/>
        </w:rPr>
        <w:t>Completing the application form</w:t>
      </w:r>
    </w:p>
    <w:p w14:paraId="743A800F" w14:textId="77777777" w:rsidR="00866867" w:rsidRPr="007C343C" w:rsidRDefault="008B0BCF" w:rsidP="00866867">
      <w:pPr>
        <w:numPr>
          <w:ilvl w:val="0"/>
          <w:numId w:val="3"/>
        </w:numPr>
        <w:spacing w:after="0" w:line="276" w:lineRule="auto"/>
        <w:jc w:val="both"/>
        <w:rPr>
          <w:rFonts w:ascii="Trebuchet MS" w:hAnsi="Trebuchet MS" w:cs="Arial"/>
        </w:rPr>
      </w:pPr>
      <w:r w:rsidRPr="007C343C">
        <w:rPr>
          <w:rFonts w:ascii="Trebuchet MS" w:hAnsi="Trebuchet MS" w:cs="Arial"/>
        </w:rPr>
        <w:t>Please ensure that ALL boxes on th</w:t>
      </w:r>
      <w:r w:rsidR="00866867" w:rsidRPr="007C343C">
        <w:rPr>
          <w:rFonts w:ascii="Trebuchet MS" w:hAnsi="Trebuchet MS" w:cs="Arial"/>
        </w:rPr>
        <w:t>e application</w:t>
      </w:r>
      <w:r w:rsidRPr="007C343C">
        <w:rPr>
          <w:rFonts w:ascii="Trebuchet MS" w:hAnsi="Trebuchet MS" w:cs="Arial"/>
        </w:rPr>
        <w:t xml:space="preserve"> form are completed. </w:t>
      </w:r>
    </w:p>
    <w:p w14:paraId="14AC3019" w14:textId="0F2D7206" w:rsidR="00866867" w:rsidRPr="007C343C" w:rsidRDefault="00662A24" w:rsidP="00866867">
      <w:pPr>
        <w:numPr>
          <w:ilvl w:val="0"/>
          <w:numId w:val="3"/>
        </w:numPr>
        <w:spacing w:after="0" w:line="276" w:lineRule="auto"/>
        <w:jc w:val="both"/>
        <w:rPr>
          <w:rFonts w:ascii="Trebuchet MS" w:hAnsi="Trebuchet MS" w:cs="Arial"/>
        </w:rPr>
      </w:pPr>
      <w:r w:rsidRPr="007C343C">
        <w:rPr>
          <w:rFonts w:ascii="Trebuchet MS" w:hAnsi="Trebuchet MS" w:cs="Arial"/>
        </w:rPr>
        <w:t xml:space="preserve">Submit your application online to </w:t>
      </w:r>
      <w:r w:rsidR="00282D4C" w:rsidRPr="007C343C">
        <w:rPr>
          <w:rFonts w:ascii="Trebuchet MS" w:hAnsi="Trebuchet MS" w:cs="Arial"/>
        </w:rPr>
        <w:t xml:space="preserve"> </w:t>
      </w:r>
      <w:hyperlink r:id="rId12" w:history="1">
        <w:r w:rsidR="007E300C" w:rsidRPr="00D60A17">
          <w:rPr>
            <w:rStyle w:val="Hyperlink"/>
            <w:rFonts w:ascii="Trebuchet MS" w:hAnsi="Trebuchet MS" w:cs="Arial"/>
          </w:rPr>
          <w:t>hayley.tomlinson@actiontogether.org.uk</w:t>
        </w:r>
      </w:hyperlink>
    </w:p>
    <w:p w14:paraId="148D6AC3" w14:textId="7E7C529F" w:rsidR="0097347E" w:rsidRPr="007C343C" w:rsidRDefault="0097347E" w:rsidP="00866867">
      <w:pPr>
        <w:numPr>
          <w:ilvl w:val="0"/>
          <w:numId w:val="3"/>
        </w:numPr>
        <w:spacing w:after="0" w:line="276" w:lineRule="auto"/>
        <w:jc w:val="both"/>
        <w:rPr>
          <w:rFonts w:ascii="Trebuchet MS" w:hAnsi="Trebuchet MS" w:cs="Arial"/>
        </w:rPr>
      </w:pPr>
      <w:r w:rsidRPr="007C343C">
        <w:rPr>
          <w:rFonts w:ascii="Trebuchet MS" w:hAnsi="Trebuchet MS" w:cs="Arial"/>
        </w:rPr>
        <w:t xml:space="preserve">If you have any queries about the application form or application process, please contact </w:t>
      </w:r>
      <w:r w:rsidR="007C343C" w:rsidRPr="007C343C">
        <w:rPr>
          <w:rFonts w:ascii="Trebuchet MS" w:hAnsi="Trebuchet MS" w:cs="Arial"/>
        </w:rPr>
        <w:t xml:space="preserve">Hayley Tomlinson </w:t>
      </w:r>
      <w:r w:rsidRPr="007C343C">
        <w:rPr>
          <w:rFonts w:ascii="Trebuchet MS" w:hAnsi="Trebuchet MS" w:cs="Arial"/>
        </w:rPr>
        <w:t>on 0161 339 2345</w:t>
      </w:r>
      <w:r w:rsidR="00417D36" w:rsidRPr="007C343C">
        <w:rPr>
          <w:rFonts w:ascii="Trebuchet MS" w:hAnsi="Trebuchet MS" w:cs="Arial"/>
        </w:rPr>
        <w:t>.</w:t>
      </w:r>
    </w:p>
    <w:sectPr w:rsidR="0097347E" w:rsidRPr="007C343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AC421" w14:textId="77777777" w:rsidR="007628CD" w:rsidRDefault="007628CD" w:rsidP="00707D5C">
      <w:pPr>
        <w:spacing w:after="0" w:line="240" w:lineRule="auto"/>
      </w:pPr>
      <w:r>
        <w:separator/>
      </w:r>
    </w:p>
  </w:endnote>
  <w:endnote w:type="continuationSeparator" w:id="0">
    <w:p w14:paraId="12E604D0" w14:textId="77777777" w:rsidR="007628CD" w:rsidRDefault="007628CD" w:rsidP="0070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46D6A" w14:textId="77777777" w:rsidR="007628CD" w:rsidRDefault="007628CD" w:rsidP="00707D5C">
      <w:pPr>
        <w:spacing w:after="0" w:line="240" w:lineRule="auto"/>
      </w:pPr>
      <w:r>
        <w:separator/>
      </w:r>
    </w:p>
  </w:footnote>
  <w:footnote w:type="continuationSeparator" w:id="0">
    <w:p w14:paraId="0228F857" w14:textId="77777777" w:rsidR="007628CD" w:rsidRDefault="007628CD" w:rsidP="0070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16FB" w14:textId="6DEC9719" w:rsidR="00707D5C" w:rsidRDefault="00DB5676">
    <w:pPr>
      <w:pStyle w:val="Header"/>
    </w:pPr>
    <w:r>
      <w:rPr>
        <w:noProof/>
        <w:lang w:eastAsia="en-GB"/>
      </w:rPr>
      <w:drawing>
        <wp:anchor distT="0" distB="0" distL="114300" distR="114300" simplePos="0" relativeHeight="251661312" behindDoc="0" locked="0" layoutInCell="1" allowOverlap="1" wp14:anchorId="286D8036" wp14:editId="7E04C7EE">
          <wp:simplePos x="0" y="0"/>
          <wp:positionH relativeFrom="column">
            <wp:posOffset>4105275</wp:posOffset>
          </wp:positionH>
          <wp:positionV relativeFrom="paragraph">
            <wp:posOffset>-26670</wp:posOffset>
          </wp:positionV>
          <wp:extent cx="2057400" cy="584835"/>
          <wp:effectExtent l="0" t="0" r="0" b="571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584835"/>
                  </a:xfrm>
                  <a:prstGeom prst="rect">
                    <a:avLst/>
                  </a:prstGeom>
                </pic:spPr>
              </pic:pic>
            </a:graphicData>
          </a:graphic>
          <wp14:sizeRelH relativeFrom="margin">
            <wp14:pctWidth>0</wp14:pctWidth>
          </wp14:sizeRelH>
          <wp14:sizeRelV relativeFrom="margin">
            <wp14:pctHeight>0</wp14:pctHeight>
          </wp14:sizeRelV>
        </wp:anchor>
      </w:drawing>
    </w:r>
    <w:r w:rsidR="00707D5C">
      <w:rPr>
        <w:rFonts w:ascii="Trebuchet MS" w:hAnsi="Trebuchet MS"/>
        <w:noProof/>
        <w:color w:val="3664AE"/>
        <w:sz w:val="28"/>
        <w:szCs w:val="28"/>
      </w:rPr>
      <w:drawing>
        <wp:anchor distT="0" distB="0" distL="114300" distR="114300" simplePos="0" relativeHeight="251659264" behindDoc="0" locked="0" layoutInCell="1" allowOverlap="1" wp14:anchorId="5F2CC08A" wp14:editId="60A1BA81">
          <wp:simplePos x="0" y="0"/>
          <wp:positionH relativeFrom="column">
            <wp:posOffset>-571500</wp:posOffset>
          </wp:positionH>
          <wp:positionV relativeFrom="paragraph">
            <wp:posOffset>-192405</wp:posOffset>
          </wp:positionV>
          <wp:extent cx="2352675" cy="862965"/>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Together Colour.png"/>
                  <pic:cNvPicPr/>
                </pic:nvPicPr>
                <pic:blipFill>
                  <a:blip r:embed="rId2">
                    <a:extLst>
                      <a:ext uri="{28A0092B-C50C-407E-A947-70E740481C1C}">
                        <a14:useLocalDpi xmlns:a14="http://schemas.microsoft.com/office/drawing/2010/main" val="0"/>
                      </a:ext>
                    </a:extLst>
                  </a:blip>
                  <a:stretch>
                    <a:fillRect/>
                  </a:stretch>
                </pic:blipFill>
                <pic:spPr>
                  <a:xfrm>
                    <a:off x="0" y="0"/>
                    <a:ext cx="2352675" cy="862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223E"/>
    <w:multiLevelType w:val="hybridMultilevel"/>
    <w:tmpl w:val="A378CB6C"/>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8F231A"/>
    <w:multiLevelType w:val="hybridMultilevel"/>
    <w:tmpl w:val="A412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53CA4"/>
    <w:multiLevelType w:val="hybridMultilevel"/>
    <w:tmpl w:val="330CB19E"/>
    <w:lvl w:ilvl="0" w:tplc="82020C7C">
      <w:start w:val="1"/>
      <w:numFmt w:val="bullet"/>
      <w:lvlText w:val="•"/>
      <w:lvlJc w:val="left"/>
      <w:pPr>
        <w:tabs>
          <w:tab w:val="num" w:pos="720"/>
        </w:tabs>
        <w:ind w:left="720" w:hanging="360"/>
      </w:pPr>
      <w:rPr>
        <w:rFonts w:ascii="Arial" w:hAnsi="Arial" w:hint="default"/>
      </w:rPr>
    </w:lvl>
    <w:lvl w:ilvl="1" w:tplc="4E6876C2">
      <w:numFmt w:val="bullet"/>
      <w:lvlText w:val="•"/>
      <w:lvlJc w:val="left"/>
      <w:pPr>
        <w:tabs>
          <w:tab w:val="num" w:pos="1440"/>
        </w:tabs>
        <w:ind w:left="1440" w:hanging="360"/>
      </w:pPr>
      <w:rPr>
        <w:rFonts w:ascii="Arial" w:hAnsi="Arial" w:hint="default"/>
      </w:rPr>
    </w:lvl>
    <w:lvl w:ilvl="2" w:tplc="8C60E6DE" w:tentative="1">
      <w:start w:val="1"/>
      <w:numFmt w:val="bullet"/>
      <w:lvlText w:val="•"/>
      <w:lvlJc w:val="left"/>
      <w:pPr>
        <w:tabs>
          <w:tab w:val="num" w:pos="2160"/>
        </w:tabs>
        <w:ind w:left="2160" w:hanging="360"/>
      </w:pPr>
      <w:rPr>
        <w:rFonts w:ascii="Arial" w:hAnsi="Arial" w:hint="default"/>
      </w:rPr>
    </w:lvl>
    <w:lvl w:ilvl="3" w:tplc="9546228C" w:tentative="1">
      <w:start w:val="1"/>
      <w:numFmt w:val="bullet"/>
      <w:lvlText w:val="•"/>
      <w:lvlJc w:val="left"/>
      <w:pPr>
        <w:tabs>
          <w:tab w:val="num" w:pos="2880"/>
        </w:tabs>
        <w:ind w:left="2880" w:hanging="360"/>
      </w:pPr>
      <w:rPr>
        <w:rFonts w:ascii="Arial" w:hAnsi="Arial" w:hint="default"/>
      </w:rPr>
    </w:lvl>
    <w:lvl w:ilvl="4" w:tplc="BB509426" w:tentative="1">
      <w:start w:val="1"/>
      <w:numFmt w:val="bullet"/>
      <w:lvlText w:val="•"/>
      <w:lvlJc w:val="left"/>
      <w:pPr>
        <w:tabs>
          <w:tab w:val="num" w:pos="3600"/>
        </w:tabs>
        <w:ind w:left="3600" w:hanging="360"/>
      </w:pPr>
      <w:rPr>
        <w:rFonts w:ascii="Arial" w:hAnsi="Arial" w:hint="default"/>
      </w:rPr>
    </w:lvl>
    <w:lvl w:ilvl="5" w:tplc="0AEEB888" w:tentative="1">
      <w:start w:val="1"/>
      <w:numFmt w:val="bullet"/>
      <w:lvlText w:val="•"/>
      <w:lvlJc w:val="left"/>
      <w:pPr>
        <w:tabs>
          <w:tab w:val="num" w:pos="4320"/>
        </w:tabs>
        <w:ind w:left="4320" w:hanging="360"/>
      </w:pPr>
      <w:rPr>
        <w:rFonts w:ascii="Arial" w:hAnsi="Arial" w:hint="default"/>
      </w:rPr>
    </w:lvl>
    <w:lvl w:ilvl="6" w:tplc="CED69430" w:tentative="1">
      <w:start w:val="1"/>
      <w:numFmt w:val="bullet"/>
      <w:lvlText w:val="•"/>
      <w:lvlJc w:val="left"/>
      <w:pPr>
        <w:tabs>
          <w:tab w:val="num" w:pos="5040"/>
        </w:tabs>
        <w:ind w:left="5040" w:hanging="360"/>
      </w:pPr>
      <w:rPr>
        <w:rFonts w:ascii="Arial" w:hAnsi="Arial" w:hint="default"/>
      </w:rPr>
    </w:lvl>
    <w:lvl w:ilvl="7" w:tplc="89F4E108" w:tentative="1">
      <w:start w:val="1"/>
      <w:numFmt w:val="bullet"/>
      <w:lvlText w:val="•"/>
      <w:lvlJc w:val="left"/>
      <w:pPr>
        <w:tabs>
          <w:tab w:val="num" w:pos="5760"/>
        </w:tabs>
        <w:ind w:left="5760" w:hanging="360"/>
      </w:pPr>
      <w:rPr>
        <w:rFonts w:ascii="Arial" w:hAnsi="Arial" w:hint="default"/>
      </w:rPr>
    </w:lvl>
    <w:lvl w:ilvl="8" w:tplc="A5CCF6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0410A8"/>
    <w:multiLevelType w:val="hybridMultilevel"/>
    <w:tmpl w:val="3B00E3A2"/>
    <w:lvl w:ilvl="0" w:tplc="994809AC">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4321F"/>
    <w:multiLevelType w:val="hybridMultilevel"/>
    <w:tmpl w:val="1338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2476B"/>
    <w:multiLevelType w:val="hybridMultilevel"/>
    <w:tmpl w:val="51BAA4B2"/>
    <w:lvl w:ilvl="0" w:tplc="994809AC">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1D7D4D"/>
    <w:multiLevelType w:val="multilevel"/>
    <w:tmpl w:val="AD5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B0F47"/>
    <w:multiLevelType w:val="hybridMultilevel"/>
    <w:tmpl w:val="87903C7A"/>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96D04"/>
    <w:multiLevelType w:val="hybridMultilevel"/>
    <w:tmpl w:val="BE241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A31446"/>
    <w:multiLevelType w:val="hybridMultilevel"/>
    <w:tmpl w:val="E898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8"/>
  </w:num>
  <w:num w:numId="6">
    <w:abstractNumId w:val="0"/>
  </w:num>
  <w:num w:numId="7">
    <w:abstractNumId w:val="6"/>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5C"/>
    <w:rsid w:val="00064C89"/>
    <w:rsid w:val="00092576"/>
    <w:rsid w:val="000D46ED"/>
    <w:rsid w:val="00110E65"/>
    <w:rsid w:val="00134009"/>
    <w:rsid w:val="00282D4C"/>
    <w:rsid w:val="002C16D5"/>
    <w:rsid w:val="0035360A"/>
    <w:rsid w:val="00362F6A"/>
    <w:rsid w:val="003E23DB"/>
    <w:rsid w:val="003F2FD2"/>
    <w:rsid w:val="00417D36"/>
    <w:rsid w:val="004A75F2"/>
    <w:rsid w:val="004D4D0D"/>
    <w:rsid w:val="004E317B"/>
    <w:rsid w:val="0053119E"/>
    <w:rsid w:val="006075E0"/>
    <w:rsid w:val="00662A24"/>
    <w:rsid w:val="0067776D"/>
    <w:rsid w:val="006B4017"/>
    <w:rsid w:val="00707D5C"/>
    <w:rsid w:val="00756EEA"/>
    <w:rsid w:val="007628CD"/>
    <w:rsid w:val="00781B16"/>
    <w:rsid w:val="007964CC"/>
    <w:rsid w:val="007C343C"/>
    <w:rsid w:val="007E300C"/>
    <w:rsid w:val="0086058C"/>
    <w:rsid w:val="00866867"/>
    <w:rsid w:val="008B0BCF"/>
    <w:rsid w:val="008E5F72"/>
    <w:rsid w:val="00910EBE"/>
    <w:rsid w:val="00914BA2"/>
    <w:rsid w:val="00926455"/>
    <w:rsid w:val="00926A48"/>
    <w:rsid w:val="0095694E"/>
    <w:rsid w:val="0097347E"/>
    <w:rsid w:val="009D2D9C"/>
    <w:rsid w:val="00A54105"/>
    <w:rsid w:val="00A718F5"/>
    <w:rsid w:val="00A87E62"/>
    <w:rsid w:val="00A936D3"/>
    <w:rsid w:val="00AB496B"/>
    <w:rsid w:val="00CF4A95"/>
    <w:rsid w:val="00D02F2C"/>
    <w:rsid w:val="00D40F11"/>
    <w:rsid w:val="00D626B1"/>
    <w:rsid w:val="00D81EF4"/>
    <w:rsid w:val="00D8468C"/>
    <w:rsid w:val="00D85909"/>
    <w:rsid w:val="00DB5676"/>
    <w:rsid w:val="00DE4469"/>
    <w:rsid w:val="00E039FB"/>
    <w:rsid w:val="00E125C4"/>
    <w:rsid w:val="00E16923"/>
    <w:rsid w:val="00EB41C3"/>
    <w:rsid w:val="00EC2E36"/>
    <w:rsid w:val="00EF6CB2"/>
    <w:rsid w:val="00EF7A9C"/>
    <w:rsid w:val="00F25C07"/>
    <w:rsid w:val="00F473C0"/>
    <w:rsid w:val="00F551F6"/>
    <w:rsid w:val="00F87630"/>
    <w:rsid w:val="00F948A5"/>
    <w:rsid w:val="00FD5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11B07"/>
  <w15:chartTrackingRefBased/>
  <w15:docId w15:val="{4781B8BB-9B63-4F3F-9B4E-4C3F8F03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D5C"/>
  </w:style>
  <w:style w:type="paragraph" w:styleId="Footer">
    <w:name w:val="footer"/>
    <w:basedOn w:val="Normal"/>
    <w:link w:val="FooterChar"/>
    <w:uiPriority w:val="99"/>
    <w:unhideWhenUsed/>
    <w:rsid w:val="0070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D5C"/>
  </w:style>
  <w:style w:type="table" w:styleId="TableGrid">
    <w:name w:val="Table Grid"/>
    <w:basedOn w:val="TableNormal"/>
    <w:uiPriority w:val="39"/>
    <w:rsid w:val="0070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D5C"/>
    <w:pPr>
      <w:ind w:left="720"/>
      <w:contextualSpacing/>
    </w:pPr>
  </w:style>
  <w:style w:type="paragraph" w:styleId="NormalWeb">
    <w:name w:val="Normal (Web)"/>
    <w:basedOn w:val="Normal"/>
    <w:uiPriority w:val="99"/>
    <w:semiHidden/>
    <w:unhideWhenUsed/>
    <w:rsid w:val="00AB49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496B"/>
    <w:rPr>
      <w:b/>
      <w:bCs/>
    </w:rPr>
  </w:style>
  <w:style w:type="character" w:styleId="Hyperlink">
    <w:name w:val="Hyperlink"/>
    <w:unhideWhenUsed/>
    <w:rsid w:val="0097347E"/>
    <w:rPr>
      <w:color w:val="0000FF"/>
      <w:u w:val="single"/>
    </w:rPr>
  </w:style>
  <w:style w:type="character" w:styleId="UnresolvedMention">
    <w:name w:val="Unresolved Mention"/>
    <w:basedOn w:val="DefaultParagraphFont"/>
    <w:uiPriority w:val="99"/>
    <w:semiHidden/>
    <w:unhideWhenUsed/>
    <w:rsid w:val="00926A48"/>
    <w:rPr>
      <w:color w:val="605E5C"/>
      <w:shd w:val="clear" w:color="auto" w:fill="E1DFDD"/>
    </w:rPr>
  </w:style>
  <w:style w:type="paragraph" w:styleId="PlainText">
    <w:name w:val="Plain Text"/>
    <w:basedOn w:val="Normal"/>
    <w:link w:val="PlainTextChar"/>
    <w:uiPriority w:val="99"/>
    <w:semiHidden/>
    <w:unhideWhenUsed/>
    <w:rsid w:val="00D40F1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D40F11"/>
    <w:rPr>
      <w:rFonts w:ascii="Calibri" w:hAnsi="Calibri" w:cs="Calibri"/>
    </w:rPr>
  </w:style>
  <w:style w:type="paragraph" w:styleId="NoSpacing">
    <w:name w:val="No Spacing"/>
    <w:basedOn w:val="Normal"/>
    <w:uiPriority w:val="1"/>
    <w:qFormat/>
    <w:rsid w:val="00EB41C3"/>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F94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802748">
      <w:bodyDiv w:val="1"/>
      <w:marLeft w:val="0"/>
      <w:marRight w:val="0"/>
      <w:marTop w:val="0"/>
      <w:marBottom w:val="0"/>
      <w:divBdr>
        <w:top w:val="none" w:sz="0" w:space="0" w:color="auto"/>
        <w:left w:val="none" w:sz="0" w:space="0" w:color="auto"/>
        <w:bottom w:val="none" w:sz="0" w:space="0" w:color="auto"/>
        <w:right w:val="none" w:sz="0" w:space="0" w:color="auto"/>
      </w:divBdr>
    </w:div>
    <w:div w:id="1016620108">
      <w:bodyDiv w:val="1"/>
      <w:marLeft w:val="0"/>
      <w:marRight w:val="0"/>
      <w:marTop w:val="0"/>
      <w:marBottom w:val="0"/>
      <w:divBdr>
        <w:top w:val="none" w:sz="0" w:space="0" w:color="auto"/>
        <w:left w:val="none" w:sz="0" w:space="0" w:color="auto"/>
        <w:bottom w:val="none" w:sz="0" w:space="0" w:color="auto"/>
        <w:right w:val="none" w:sz="0" w:space="0" w:color="auto"/>
      </w:divBdr>
    </w:div>
    <w:div w:id="1341153149">
      <w:bodyDiv w:val="1"/>
      <w:marLeft w:val="0"/>
      <w:marRight w:val="0"/>
      <w:marTop w:val="0"/>
      <w:marBottom w:val="0"/>
      <w:divBdr>
        <w:top w:val="none" w:sz="0" w:space="0" w:color="auto"/>
        <w:left w:val="none" w:sz="0" w:space="0" w:color="auto"/>
        <w:bottom w:val="none" w:sz="0" w:space="0" w:color="auto"/>
        <w:right w:val="none" w:sz="0" w:space="0" w:color="auto"/>
      </w:divBdr>
    </w:div>
    <w:div w:id="1486360445">
      <w:bodyDiv w:val="1"/>
      <w:marLeft w:val="0"/>
      <w:marRight w:val="0"/>
      <w:marTop w:val="0"/>
      <w:marBottom w:val="0"/>
      <w:divBdr>
        <w:top w:val="none" w:sz="0" w:space="0" w:color="auto"/>
        <w:left w:val="none" w:sz="0" w:space="0" w:color="auto"/>
        <w:bottom w:val="none" w:sz="0" w:space="0" w:color="auto"/>
        <w:right w:val="none" w:sz="0" w:space="0" w:color="auto"/>
      </w:divBdr>
    </w:div>
    <w:div w:id="1663000642">
      <w:bodyDiv w:val="1"/>
      <w:marLeft w:val="0"/>
      <w:marRight w:val="0"/>
      <w:marTop w:val="0"/>
      <w:marBottom w:val="0"/>
      <w:divBdr>
        <w:top w:val="none" w:sz="0" w:space="0" w:color="auto"/>
        <w:left w:val="none" w:sz="0" w:space="0" w:color="auto"/>
        <w:bottom w:val="none" w:sz="0" w:space="0" w:color="auto"/>
        <w:right w:val="none" w:sz="0" w:space="0" w:color="auto"/>
      </w:divBdr>
    </w:div>
    <w:div w:id="1777482652">
      <w:bodyDiv w:val="1"/>
      <w:marLeft w:val="0"/>
      <w:marRight w:val="0"/>
      <w:marTop w:val="0"/>
      <w:marBottom w:val="0"/>
      <w:divBdr>
        <w:top w:val="none" w:sz="0" w:space="0" w:color="auto"/>
        <w:left w:val="none" w:sz="0" w:space="0" w:color="auto"/>
        <w:bottom w:val="none" w:sz="0" w:space="0" w:color="auto"/>
        <w:right w:val="none" w:sz="0" w:space="0" w:color="auto"/>
      </w:divBdr>
    </w:div>
    <w:div w:id="18495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92376/COVID_stakeholder_engagement_synthesis_beyond_the_data.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892085/disparities_review.pdf" TargetMode="External"/><Relationship Id="rId12" Type="http://schemas.openxmlformats.org/officeDocument/2006/relationships/hyperlink" Target="mailto:hayley.tomlinson@actiontogeth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ronavirus-how-to-help-safely--2/coronavirus-how-to-help-safel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892376/COVID_stakeholder_engagement_synthesis_beyond_the_data.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2376/COVID_stakeholder_engagement_synthesis_beyond_the_dat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Tomlinson</dc:creator>
  <cp:keywords/>
  <dc:description/>
  <cp:lastModifiedBy>Grants</cp:lastModifiedBy>
  <cp:revision>2</cp:revision>
  <dcterms:created xsi:type="dcterms:W3CDTF">2020-07-13T13:37:00Z</dcterms:created>
  <dcterms:modified xsi:type="dcterms:W3CDTF">2020-07-13T13:37:00Z</dcterms:modified>
</cp:coreProperties>
</file>