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4" w:rsidRDefault="00BF5FE4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  <w:lang w:eastAsia="en-GB"/>
        </w:rPr>
        <w:drawing>
          <wp:inline distT="0" distB="0" distL="0" distR="0">
            <wp:extent cx="5731510" cy="1553876"/>
            <wp:effectExtent l="0" t="0" r="2540" b="8255"/>
            <wp:docPr id="1" name="Picture 1" descr="S:\TSCB Board\Templates\141003 TSC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SCB Board\Templates\141003 TSCB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CE" w:rsidRPr="00BF5FE4" w:rsidRDefault="00203FDF" w:rsidP="00203FDF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</w:t>
      </w:r>
      <w:r w:rsidR="00F901A2">
        <w:rPr>
          <w:rFonts w:ascii="Century Gothic" w:hAnsi="Century Gothic"/>
          <w:b/>
          <w:sz w:val="48"/>
          <w:szCs w:val="48"/>
        </w:rPr>
        <w:t>July</w:t>
      </w:r>
      <w:r w:rsidR="00B51780">
        <w:rPr>
          <w:rFonts w:ascii="Century Gothic" w:hAnsi="Century Gothic"/>
          <w:b/>
          <w:sz w:val="48"/>
          <w:szCs w:val="48"/>
        </w:rPr>
        <w:t xml:space="preserve"> 2018</w:t>
      </w:r>
      <w:r w:rsidR="00BF5FE4">
        <w:rPr>
          <w:rFonts w:ascii="Century Gothic" w:hAnsi="Century Gothic"/>
          <w:b/>
          <w:sz w:val="48"/>
          <w:szCs w:val="48"/>
        </w:rPr>
        <w:t xml:space="preserve"> E-B</w:t>
      </w:r>
      <w:r w:rsidR="00505EF3" w:rsidRPr="00BF5FE4">
        <w:rPr>
          <w:rFonts w:ascii="Century Gothic" w:hAnsi="Century Gothic"/>
          <w:b/>
          <w:sz w:val="48"/>
          <w:szCs w:val="48"/>
        </w:rPr>
        <w:t>ulletin</w:t>
      </w:r>
      <w:r w:rsidR="00BF5FE4">
        <w:rPr>
          <w:rFonts w:ascii="Century Gothic" w:hAnsi="Century Gothic"/>
          <w:b/>
          <w:sz w:val="48"/>
          <w:szCs w:val="48"/>
        </w:rPr>
        <w:t xml:space="preserve"> - </w:t>
      </w:r>
      <w:r w:rsidR="00F901A2">
        <w:rPr>
          <w:rFonts w:ascii="Century Gothic" w:eastAsia="Times New Roman" w:hAnsi="Century Gothic" w:cstheme="minorHAnsi"/>
          <w:b/>
          <w:sz w:val="48"/>
          <w:szCs w:val="48"/>
          <w:lang w:val="en" w:eastAsia="en-GB"/>
        </w:rPr>
        <w:t>Edition 030</w:t>
      </w:r>
    </w:p>
    <w:p w:rsidR="005064CE" w:rsidRPr="00352C09" w:rsidRDefault="00D11A88" w:rsidP="005064CE">
      <w:pPr>
        <w:shd w:val="clear" w:color="auto" w:fill="FFFFFF"/>
        <w:spacing w:after="300" w:line="240" w:lineRule="auto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>Welcome to the July</w:t>
      </w:r>
      <w:r w:rsidR="001D091E">
        <w:rPr>
          <w:rFonts w:ascii="Century Gothic" w:eastAsia="Times New Roman" w:hAnsi="Century Gothic" w:cstheme="minorHAnsi"/>
          <w:lang w:val="en" w:eastAsia="en-GB"/>
        </w:rPr>
        <w:t xml:space="preserve"> 20</w:t>
      </w:r>
      <w:r w:rsidR="00B51780">
        <w:rPr>
          <w:rFonts w:ascii="Century Gothic" w:eastAsia="Times New Roman" w:hAnsi="Century Gothic" w:cstheme="minorHAnsi"/>
          <w:lang w:val="en" w:eastAsia="en-GB"/>
        </w:rPr>
        <w:t>18</w:t>
      </w:r>
      <w:r w:rsidR="00A077CB">
        <w:rPr>
          <w:rFonts w:ascii="Century Gothic" w:eastAsia="Times New Roman" w:hAnsi="Century Gothic" w:cstheme="minorHAnsi"/>
          <w:lang w:val="en" w:eastAsia="en-GB"/>
        </w:rPr>
        <w:t xml:space="preserve"> </w:t>
      </w:r>
      <w:r w:rsidR="005064CE" w:rsidRPr="00352C09">
        <w:rPr>
          <w:rFonts w:ascii="Century Gothic" w:eastAsia="Times New Roman" w:hAnsi="Century Gothic" w:cstheme="minorHAnsi"/>
          <w:lang w:val="en" w:eastAsia="en-GB"/>
        </w:rPr>
        <w:t xml:space="preserve">edition of the Tameside Safeguarding Children Board E.Bulletin. </w:t>
      </w:r>
    </w:p>
    <w:p w:rsidR="00E142ED" w:rsidRDefault="005064CE" w:rsidP="00BB376B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352C09">
        <w:rPr>
          <w:rFonts w:ascii="Century Gothic" w:eastAsia="Times New Roman" w:hAnsi="Century Gothic" w:cstheme="minorHAnsi"/>
          <w:lang w:val="en" w:eastAsia="en-GB"/>
        </w:rPr>
        <w:t>This edition provides information about</w:t>
      </w:r>
      <w:r>
        <w:rPr>
          <w:rFonts w:ascii="Century Gothic" w:eastAsia="Times New Roman" w:hAnsi="Century Gothic" w:cstheme="minorHAnsi"/>
          <w:lang w:val="en" w:eastAsia="en-GB"/>
        </w:rPr>
        <w:t xml:space="preserve"> new procedures and processes that all practitioners working with children or their parents/carers need to be aware of.  They link to the learning and recommendations from Case Reviews and to new statutory requirements.  The E-Bulletin includes;</w:t>
      </w:r>
    </w:p>
    <w:p w:rsidR="00C25EC1" w:rsidRPr="00C25EC1" w:rsidRDefault="00C25EC1" w:rsidP="00C25EC1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Working Together 2018 and new Safeguarding Arrangements</w:t>
      </w:r>
    </w:p>
    <w:p w:rsidR="00C25EC1" w:rsidRPr="00C25EC1" w:rsidRDefault="00C25EC1" w:rsidP="00C25EC1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Information Sharing &amp; GDPR</w:t>
      </w:r>
    </w:p>
    <w:p w:rsidR="00C25EC1" w:rsidRPr="00C25EC1" w:rsidRDefault="00C25EC1" w:rsidP="00C25EC1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Greater Manchester Safeguarding Procedures Manual</w:t>
      </w:r>
    </w:p>
    <w:p w:rsidR="00C25EC1" w:rsidRPr="00C25EC1" w:rsidRDefault="00C25EC1" w:rsidP="00C25EC1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Female Genital Mutilation (FGM)</w:t>
      </w:r>
    </w:p>
    <w:p w:rsidR="00C25EC1" w:rsidRPr="00C25EC1" w:rsidRDefault="00C25EC1" w:rsidP="00C25EC1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Re-thinking ‘Did not attend’</w:t>
      </w:r>
    </w:p>
    <w:p w:rsidR="00C25EC1" w:rsidRPr="00C25EC1" w:rsidRDefault="00C25EC1" w:rsidP="00C25EC1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Multi-Agency Learning Reviews (MALR)</w:t>
      </w:r>
    </w:p>
    <w:p w:rsidR="00C25EC1" w:rsidRPr="00C25EC1" w:rsidRDefault="00C25EC1" w:rsidP="00BB376B">
      <w:pPr>
        <w:pStyle w:val="ListParagraph"/>
        <w:numPr>
          <w:ilvl w:val="0"/>
          <w:numId w:val="16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C25EC1">
        <w:rPr>
          <w:rFonts w:ascii="Century Gothic" w:eastAsia="Times New Roman" w:hAnsi="Century Gothic" w:cstheme="minorHAnsi"/>
          <w:lang w:val="en" w:eastAsia="en-GB"/>
        </w:rPr>
        <w:t>Practitioner/Stakeholder Sessions</w:t>
      </w:r>
    </w:p>
    <w:p w:rsidR="00AC245C" w:rsidRDefault="00AC245C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>
        <w:rPr>
          <w:rFonts w:ascii="Century Gothic" w:eastAsia="Times New Roman" w:hAnsi="Century Gothic" w:cstheme="minorHAnsi"/>
          <w:b/>
          <w:lang w:val="en" w:eastAsia="en-GB"/>
        </w:rPr>
        <w:t>Working Together 2018 and new Safeguarding Arrangements</w:t>
      </w:r>
    </w:p>
    <w:p w:rsidR="00CC0916" w:rsidRDefault="00CC0916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3D5EE8">
        <w:rPr>
          <w:rFonts w:ascii="Century Gothic" w:eastAsia="Times New Roman" w:hAnsi="Century Gothic" w:cstheme="minorHAnsi"/>
          <w:lang w:val="en" w:eastAsia="en-GB"/>
        </w:rPr>
        <w:t xml:space="preserve">The Department for Education has published the revised </w:t>
      </w:r>
      <w:hyperlink r:id="rId10" w:history="1">
        <w:r w:rsidR="003D5EE8" w:rsidRPr="003D5EE8">
          <w:rPr>
            <w:rStyle w:val="Hyperlink"/>
            <w:rFonts w:ascii="Century Gothic" w:eastAsia="Times New Roman" w:hAnsi="Century Gothic" w:cstheme="minorHAnsi"/>
            <w:lang w:val="en" w:eastAsia="en-GB"/>
          </w:rPr>
          <w:t xml:space="preserve">Working Together to Safeguard Children Guidance. </w:t>
        </w:r>
      </w:hyperlink>
      <w:r w:rsidR="003D5EE8" w:rsidRPr="003D5EE8">
        <w:rPr>
          <w:rFonts w:ascii="Century Gothic" w:eastAsia="Times New Roman" w:hAnsi="Century Gothic" w:cstheme="minorHAnsi"/>
          <w:lang w:val="en" w:eastAsia="en-GB"/>
        </w:rPr>
        <w:t xml:space="preserve"> </w:t>
      </w:r>
      <w:r w:rsidR="00DD08A2">
        <w:rPr>
          <w:rFonts w:ascii="Century Gothic" w:eastAsia="Times New Roman" w:hAnsi="Century Gothic" w:cstheme="minorHAnsi"/>
          <w:lang w:val="en" w:eastAsia="en-GB"/>
        </w:rPr>
        <w:t xml:space="preserve">Under the guidance </w:t>
      </w:r>
      <w:r w:rsidR="003D5EE8" w:rsidRPr="003D5EE8">
        <w:rPr>
          <w:rFonts w:ascii="Century Gothic" w:eastAsia="Times New Roman" w:hAnsi="Century Gothic" w:cstheme="minorHAnsi"/>
          <w:lang w:val="en" w:eastAsia="en-GB"/>
        </w:rPr>
        <w:t xml:space="preserve">the Local </w:t>
      </w:r>
      <w:r w:rsidR="003D5EE8">
        <w:rPr>
          <w:rFonts w:ascii="Century Gothic" w:eastAsia="Times New Roman" w:hAnsi="Century Gothic" w:cstheme="minorHAnsi"/>
          <w:lang w:val="en" w:eastAsia="en-GB"/>
        </w:rPr>
        <w:t xml:space="preserve">Safeguarding Children Board will be replaced by new </w:t>
      </w:r>
      <w:r w:rsidR="00DD08A2">
        <w:rPr>
          <w:rFonts w:ascii="Century Gothic" w:eastAsia="Times New Roman" w:hAnsi="Century Gothic" w:cstheme="minorHAnsi"/>
          <w:lang w:val="en" w:eastAsia="en-GB"/>
        </w:rPr>
        <w:t xml:space="preserve">local </w:t>
      </w:r>
      <w:r w:rsidR="003D5EE8">
        <w:rPr>
          <w:rFonts w:ascii="Century Gothic" w:eastAsia="Times New Roman" w:hAnsi="Century Gothic" w:cstheme="minorHAnsi"/>
          <w:lang w:val="en" w:eastAsia="en-GB"/>
        </w:rPr>
        <w:t xml:space="preserve">Safeguarding Arrangements.  Tameside has successfully bid for Early Adopter Status and will therefore </w:t>
      </w:r>
      <w:r w:rsidR="00DD08A2">
        <w:rPr>
          <w:rFonts w:ascii="Century Gothic" w:eastAsia="Times New Roman" w:hAnsi="Century Gothic" w:cstheme="minorHAnsi"/>
          <w:lang w:val="en" w:eastAsia="en-GB"/>
        </w:rPr>
        <w:t>implement its</w:t>
      </w:r>
      <w:r w:rsidR="003D5EE8">
        <w:rPr>
          <w:rFonts w:ascii="Century Gothic" w:eastAsia="Times New Roman" w:hAnsi="Century Gothic" w:cstheme="minorHAnsi"/>
          <w:lang w:val="en" w:eastAsia="en-GB"/>
        </w:rPr>
        <w:t xml:space="preserve"> new arrangements by the Autumn.  Safeguarding partners have agreed 3 strands of innovation and have been working closely to strengthen;</w:t>
      </w:r>
    </w:p>
    <w:p w:rsidR="003D5EE8" w:rsidRPr="003D5EE8" w:rsidRDefault="003D5EE8" w:rsidP="003D5EE8">
      <w:pPr>
        <w:pStyle w:val="ListParagraph"/>
        <w:numPr>
          <w:ilvl w:val="0"/>
          <w:numId w:val="15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3D5EE8">
        <w:rPr>
          <w:rFonts w:ascii="Century Gothic" w:eastAsia="Times New Roman" w:hAnsi="Century Gothic" w:cstheme="minorHAnsi"/>
          <w:lang w:val="en" w:eastAsia="en-GB"/>
        </w:rPr>
        <w:t>The collective voice and influence of children and young people in Tameside.</w:t>
      </w:r>
    </w:p>
    <w:p w:rsidR="003D5EE8" w:rsidRPr="003D5EE8" w:rsidRDefault="003D5EE8" w:rsidP="003D5EE8">
      <w:pPr>
        <w:pStyle w:val="ListParagraph"/>
        <w:numPr>
          <w:ilvl w:val="0"/>
          <w:numId w:val="15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3D5EE8">
        <w:rPr>
          <w:rFonts w:ascii="Century Gothic" w:eastAsia="Times New Roman" w:hAnsi="Century Gothic" w:cstheme="minorHAnsi"/>
          <w:lang w:val="en" w:eastAsia="en-GB"/>
        </w:rPr>
        <w:t>The developing integrated neighbourhood model to incorporate a child and families early help offer built around universal services.</w:t>
      </w:r>
    </w:p>
    <w:p w:rsidR="003D5EE8" w:rsidRDefault="003D5EE8" w:rsidP="003D5EE8">
      <w:pPr>
        <w:pStyle w:val="ListParagraph"/>
        <w:numPr>
          <w:ilvl w:val="0"/>
          <w:numId w:val="15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3D5EE8">
        <w:rPr>
          <w:rFonts w:ascii="Century Gothic" w:eastAsia="Times New Roman" w:hAnsi="Century Gothic" w:cstheme="minorHAnsi"/>
          <w:lang w:val="en" w:eastAsia="en-GB"/>
        </w:rPr>
        <w:t>Independent scrutiny via a GM Standards Board.</w:t>
      </w:r>
    </w:p>
    <w:p w:rsidR="00DD08A2" w:rsidRPr="008C5ADF" w:rsidRDefault="00DD08A2" w:rsidP="00DD08A2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 w:rsidRPr="008C5ADF">
        <w:rPr>
          <w:rFonts w:ascii="Century Gothic" w:eastAsia="Times New Roman" w:hAnsi="Century Gothic" w:cstheme="minorHAnsi"/>
          <w:b/>
          <w:lang w:val="en" w:eastAsia="en-GB"/>
        </w:rPr>
        <w:lastRenderedPageBreak/>
        <w:t>Information Sharing</w:t>
      </w:r>
      <w:r w:rsidR="00C25EC1">
        <w:rPr>
          <w:rFonts w:ascii="Century Gothic" w:eastAsia="Times New Roman" w:hAnsi="Century Gothic" w:cstheme="minorHAnsi"/>
          <w:b/>
          <w:lang w:val="en" w:eastAsia="en-GB"/>
        </w:rPr>
        <w:t xml:space="preserve"> &amp;GDPR</w:t>
      </w:r>
      <w:r w:rsidRPr="008C5ADF">
        <w:rPr>
          <w:rFonts w:ascii="Century Gothic" w:eastAsia="Times New Roman" w:hAnsi="Century Gothic" w:cstheme="minorHAnsi"/>
          <w:b/>
          <w:lang w:val="en" w:eastAsia="en-GB"/>
        </w:rPr>
        <w:t xml:space="preserve"> </w:t>
      </w:r>
    </w:p>
    <w:p w:rsidR="00AC245C" w:rsidRPr="00C25EC1" w:rsidRDefault="00DD08A2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 xml:space="preserve">The Department for Education has also published revised </w:t>
      </w:r>
      <w:hyperlink r:id="rId11" w:history="1">
        <w:r w:rsidRPr="008C5ADF">
          <w:rPr>
            <w:rStyle w:val="Hyperlink"/>
            <w:rFonts w:ascii="Century Gothic" w:eastAsia="Times New Roman" w:hAnsi="Century Gothic" w:cstheme="minorHAnsi"/>
            <w:lang w:val="en" w:eastAsia="en-GB"/>
          </w:rPr>
          <w:t>Information Sharing Guidance</w:t>
        </w:r>
      </w:hyperlink>
      <w:r>
        <w:rPr>
          <w:rFonts w:ascii="Century Gothic" w:eastAsia="Times New Roman" w:hAnsi="Century Gothic" w:cstheme="minorHAnsi"/>
          <w:lang w:val="en" w:eastAsia="en-GB"/>
        </w:rPr>
        <w:t xml:space="preserve"> for </w:t>
      </w:r>
      <w:r w:rsidRPr="00DD08A2">
        <w:rPr>
          <w:rFonts w:ascii="Century Gothic" w:eastAsia="Times New Roman" w:hAnsi="Century Gothic" w:cstheme="minorHAnsi"/>
          <w:lang w:eastAsia="en-GB"/>
        </w:rPr>
        <w:t>practitioners providing safeguarding services to children, young people, parents and carers</w:t>
      </w:r>
      <w:r>
        <w:rPr>
          <w:rFonts w:ascii="Century Gothic" w:eastAsia="Times New Roman" w:hAnsi="Century Gothic" w:cstheme="minorHAnsi"/>
          <w:lang w:eastAsia="en-GB"/>
        </w:rPr>
        <w:t>.</w:t>
      </w:r>
      <w:r w:rsidR="008C5ADF">
        <w:rPr>
          <w:rFonts w:ascii="Century Gothic" w:eastAsia="Times New Roman" w:hAnsi="Century Gothic" w:cstheme="minorHAnsi"/>
          <w:lang w:eastAsia="en-GB"/>
        </w:rPr>
        <w:t xml:space="preserve">  </w:t>
      </w:r>
      <w:r w:rsidR="008C5ADF" w:rsidRPr="008C5ADF">
        <w:rPr>
          <w:rFonts w:ascii="Century Gothic" w:eastAsia="Times New Roman" w:hAnsi="Century Gothic" w:cstheme="minorHAnsi"/>
          <w:lang w:eastAsia="en-GB"/>
        </w:rPr>
        <w:t>A section containing a myth-busting guide to information sharing has been added to address the introduction of the Data Protection Act 2018 and General Data Protection Regulations (GDPR).</w:t>
      </w:r>
      <w:r w:rsidR="008C5ADF">
        <w:rPr>
          <w:rFonts w:ascii="Century Gothic" w:eastAsia="Times New Roman" w:hAnsi="Century Gothic" w:cstheme="minorHAnsi"/>
          <w:lang w:eastAsia="en-GB"/>
        </w:rPr>
        <w:t xml:space="preserve">  </w:t>
      </w:r>
    </w:p>
    <w:p w:rsidR="00973B94" w:rsidRDefault="00AC245C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>
        <w:rPr>
          <w:rFonts w:ascii="Century Gothic" w:eastAsia="Times New Roman" w:hAnsi="Century Gothic" w:cstheme="minorHAnsi"/>
          <w:b/>
          <w:lang w:val="en" w:eastAsia="en-GB"/>
        </w:rPr>
        <w:t>G</w:t>
      </w:r>
      <w:r w:rsidR="00973B94">
        <w:rPr>
          <w:rFonts w:ascii="Century Gothic" w:eastAsia="Times New Roman" w:hAnsi="Century Gothic" w:cstheme="minorHAnsi"/>
          <w:b/>
          <w:lang w:val="en" w:eastAsia="en-GB"/>
        </w:rPr>
        <w:t>reater Manchester Safeguarding Procedure</w:t>
      </w:r>
      <w:r w:rsidR="005F046F">
        <w:rPr>
          <w:rFonts w:ascii="Century Gothic" w:eastAsia="Times New Roman" w:hAnsi="Century Gothic" w:cstheme="minorHAnsi"/>
          <w:b/>
          <w:lang w:val="en" w:eastAsia="en-GB"/>
        </w:rPr>
        <w:t>s Manual</w:t>
      </w:r>
    </w:p>
    <w:p w:rsidR="00973B94" w:rsidRDefault="00F22749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5778F5">
        <w:rPr>
          <w:rFonts w:ascii="Century Gothic" w:eastAsia="Times New Roman" w:hAnsi="Century Gothic" w:cstheme="minorHAnsi"/>
          <w:lang w:val="en" w:eastAsia="en-GB"/>
        </w:rPr>
        <w:t xml:space="preserve">The </w:t>
      </w:r>
      <w:hyperlink r:id="rId12" w:history="1">
        <w:r w:rsidR="00973B94" w:rsidRPr="00973B94">
          <w:rPr>
            <w:rStyle w:val="Hyperlink"/>
            <w:rFonts w:ascii="Century Gothic" w:eastAsia="Times New Roman" w:hAnsi="Century Gothic" w:cstheme="minorHAnsi"/>
            <w:lang w:val="en" w:eastAsia="en-GB"/>
          </w:rPr>
          <w:t>latest updates</w:t>
        </w:r>
      </w:hyperlink>
      <w:r w:rsidR="00973B94">
        <w:rPr>
          <w:rFonts w:ascii="Century Gothic" w:eastAsia="Times New Roman" w:hAnsi="Century Gothic" w:cstheme="minorHAnsi"/>
          <w:lang w:val="en" w:eastAsia="en-GB"/>
        </w:rPr>
        <w:t xml:space="preserve"> to the Greater Manchester Procedures have been released.  They include revisions to the Resolving Professional Differences/Escalation Policy and to the Victims of Modern Slavery, Trafficking and Exploitation Chapter.</w:t>
      </w:r>
    </w:p>
    <w:p w:rsidR="00973B94" w:rsidRDefault="00973B94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>Please remember the importance of keeping up to date with the latest policies and procedures and</w:t>
      </w:r>
      <w:r w:rsidR="005F046F">
        <w:rPr>
          <w:rFonts w:ascii="Century Gothic" w:eastAsia="Times New Roman" w:hAnsi="Century Gothic" w:cstheme="minorHAnsi"/>
          <w:lang w:val="en" w:eastAsia="en-GB"/>
        </w:rPr>
        <w:t xml:space="preserve"> </w:t>
      </w:r>
      <w:hyperlink r:id="rId13" w:history="1">
        <w:r w:rsidR="005F046F" w:rsidRPr="005F046F">
          <w:rPr>
            <w:rStyle w:val="Hyperlink"/>
            <w:rFonts w:ascii="Century Gothic" w:eastAsia="Times New Roman" w:hAnsi="Century Gothic" w:cstheme="minorHAnsi"/>
            <w:lang w:val="en" w:eastAsia="en-GB"/>
          </w:rPr>
          <w:t>sign up for updates</w:t>
        </w:r>
      </w:hyperlink>
      <w:r w:rsidR="005F046F">
        <w:rPr>
          <w:rFonts w:ascii="Century Gothic" w:eastAsia="Times New Roman" w:hAnsi="Century Gothic" w:cstheme="minorHAnsi"/>
          <w:lang w:val="en" w:eastAsia="en-GB"/>
        </w:rPr>
        <w:t xml:space="preserve"> direct from the GM Safeguarding Partnership website.</w:t>
      </w:r>
    </w:p>
    <w:p w:rsidR="005F046F" w:rsidRDefault="005F046F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 w:rsidRPr="005F046F">
        <w:rPr>
          <w:rFonts w:ascii="Century Gothic" w:eastAsia="Times New Roman" w:hAnsi="Century Gothic" w:cstheme="minorHAnsi"/>
          <w:b/>
          <w:lang w:val="en" w:eastAsia="en-GB"/>
        </w:rPr>
        <w:t>Female Genital Mutilation</w:t>
      </w:r>
      <w:r>
        <w:rPr>
          <w:rFonts w:ascii="Century Gothic" w:eastAsia="Times New Roman" w:hAnsi="Century Gothic" w:cstheme="minorHAnsi"/>
          <w:b/>
          <w:lang w:val="en" w:eastAsia="en-GB"/>
        </w:rPr>
        <w:t xml:space="preserve"> (FGM)</w:t>
      </w:r>
    </w:p>
    <w:p w:rsidR="005F046F" w:rsidRDefault="005F046F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>FGM figures in Tameside are very low, espe</w:t>
      </w:r>
      <w:r w:rsidR="006E4ED4">
        <w:rPr>
          <w:rFonts w:ascii="Century Gothic" w:eastAsia="Times New Roman" w:hAnsi="Century Gothic" w:cstheme="minorHAnsi"/>
          <w:lang w:val="en" w:eastAsia="en-GB"/>
        </w:rPr>
        <w:t>cially when compared</w:t>
      </w:r>
      <w:r>
        <w:rPr>
          <w:rFonts w:ascii="Century Gothic" w:eastAsia="Times New Roman" w:hAnsi="Century Gothic" w:cstheme="minorHAnsi"/>
          <w:lang w:val="en" w:eastAsia="en-GB"/>
        </w:rPr>
        <w:t xml:space="preserve"> to a range of other safeguarding issues.  </w:t>
      </w:r>
      <w:r w:rsidR="006E4ED4">
        <w:rPr>
          <w:rFonts w:ascii="Century Gothic" w:eastAsia="Times New Roman" w:hAnsi="Century Gothic" w:cstheme="minorHAnsi"/>
          <w:lang w:val="en" w:eastAsia="en-GB"/>
        </w:rPr>
        <w:t>However, Tameside does have a multi-ethnic make up including communities where research tells us girls are at greater risk. It</w:t>
      </w:r>
      <w:r w:rsidR="00E142ED">
        <w:rPr>
          <w:rFonts w:ascii="Century Gothic" w:eastAsia="Times New Roman" w:hAnsi="Century Gothic" w:cstheme="minorHAnsi"/>
          <w:lang w:val="en" w:eastAsia="en-GB"/>
        </w:rPr>
        <w:t>’</w:t>
      </w:r>
      <w:r w:rsidR="006E4ED4">
        <w:rPr>
          <w:rFonts w:ascii="Century Gothic" w:eastAsia="Times New Roman" w:hAnsi="Century Gothic" w:cstheme="minorHAnsi"/>
          <w:lang w:val="en" w:eastAsia="en-GB"/>
        </w:rPr>
        <w:t xml:space="preserve">s crucial that we remain alert to the signs and </w:t>
      </w:r>
      <w:r w:rsidR="00356D84">
        <w:rPr>
          <w:rFonts w:ascii="Century Gothic" w:eastAsia="Times New Roman" w:hAnsi="Century Gothic" w:cstheme="minorHAnsi"/>
          <w:lang w:val="en" w:eastAsia="en-GB"/>
        </w:rPr>
        <w:t xml:space="preserve">proactively </w:t>
      </w:r>
      <w:r w:rsidR="006E4ED4">
        <w:rPr>
          <w:rFonts w:ascii="Century Gothic" w:eastAsia="Times New Roman" w:hAnsi="Century Gothic" w:cstheme="minorHAnsi"/>
          <w:lang w:val="en" w:eastAsia="en-GB"/>
        </w:rPr>
        <w:t>look out for them.</w:t>
      </w:r>
      <w:r w:rsidR="00E142ED">
        <w:rPr>
          <w:rFonts w:ascii="Century Gothic" w:eastAsia="Times New Roman" w:hAnsi="Century Gothic" w:cstheme="minorHAnsi"/>
          <w:lang w:val="en" w:eastAsia="en-GB"/>
        </w:rPr>
        <w:t xml:space="preserve">  NHS England </w:t>
      </w:r>
      <w:r w:rsidR="00E142ED" w:rsidRPr="00E142ED">
        <w:rPr>
          <w:rFonts w:ascii="Century Gothic" w:eastAsia="Times New Roman" w:hAnsi="Century Gothic" w:cstheme="minorHAnsi"/>
          <w:lang w:val="en" w:eastAsia="en-GB"/>
        </w:rPr>
        <w:t>have created</w:t>
      </w:r>
      <w:r w:rsidR="00356D84">
        <w:rPr>
          <w:rFonts w:ascii="Century Gothic" w:eastAsia="Times New Roman" w:hAnsi="Century Gothic" w:cstheme="minorHAnsi"/>
          <w:lang w:val="en" w:eastAsia="en-GB"/>
        </w:rPr>
        <w:t xml:space="preserve"> up to date </w:t>
      </w:r>
      <w:hyperlink r:id="rId14" w:history="1">
        <w:r w:rsidR="00356D84" w:rsidRPr="00356D84">
          <w:rPr>
            <w:rStyle w:val="Hyperlink"/>
            <w:rFonts w:ascii="Century Gothic" w:eastAsia="Times New Roman" w:hAnsi="Century Gothic" w:cstheme="minorHAnsi"/>
            <w:lang w:val="en" w:eastAsia="en-GB"/>
          </w:rPr>
          <w:t>care and prevention guidance</w:t>
        </w:r>
      </w:hyperlink>
      <w:r w:rsidR="00356D84">
        <w:rPr>
          <w:rFonts w:ascii="Century Gothic" w:eastAsia="Times New Roman" w:hAnsi="Century Gothic" w:cstheme="minorHAnsi"/>
          <w:lang w:val="en" w:eastAsia="en-GB"/>
        </w:rPr>
        <w:t xml:space="preserve"> and</w:t>
      </w:r>
      <w:r w:rsidR="00E142ED" w:rsidRPr="00E142ED">
        <w:rPr>
          <w:rFonts w:ascii="Century Gothic" w:eastAsia="Times New Roman" w:hAnsi="Century Gothic" w:cstheme="minorHAnsi"/>
          <w:lang w:val="en" w:eastAsia="en-GB"/>
        </w:rPr>
        <w:t xml:space="preserve"> </w:t>
      </w:r>
      <w:r w:rsidR="00E142ED">
        <w:rPr>
          <w:rFonts w:ascii="Century Gothic" w:eastAsia="Times New Roman" w:hAnsi="Century Gothic" w:cstheme="minorHAnsi"/>
          <w:lang w:val="en" w:eastAsia="en-GB"/>
        </w:rPr>
        <w:t xml:space="preserve">a number of </w:t>
      </w:r>
      <w:r w:rsidR="00E142ED" w:rsidRPr="00E142ED">
        <w:rPr>
          <w:rFonts w:ascii="Century Gothic" w:eastAsia="Times New Roman" w:hAnsi="Century Gothic" w:cstheme="minorHAnsi"/>
          <w:lang w:val="en" w:eastAsia="en-GB"/>
        </w:rPr>
        <w:t>scenario-based animations</w:t>
      </w:r>
      <w:r w:rsidR="00E142ED">
        <w:rPr>
          <w:rFonts w:ascii="Century Gothic" w:eastAsia="Times New Roman" w:hAnsi="Century Gothic" w:cstheme="minorHAnsi"/>
          <w:lang w:val="en" w:eastAsia="en-GB"/>
        </w:rPr>
        <w:t xml:space="preserve"> inc;</w:t>
      </w:r>
    </w:p>
    <w:p w:rsidR="00E142ED" w:rsidRPr="00E142ED" w:rsidRDefault="00B500F0" w:rsidP="00E142ED">
      <w:pPr>
        <w:numPr>
          <w:ilvl w:val="0"/>
          <w:numId w:val="14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-US" w:eastAsia="en-GB"/>
        </w:rPr>
      </w:pPr>
      <w:hyperlink r:id="rId15" w:history="1">
        <w:r w:rsidR="00E142ED" w:rsidRPr="00E142ED">
          <w:rPr>
            <w:rStyle w:val="Hyperlink"/>
            <w:rFonts w:ascii="Century Gothic" w:eastAsia="Times New Roman" w:hAnsi="Century Gothic" w:cstheme="minorHAnsi"/>
            <w:lang w:val="en-US" w:eastAsia="en-GB"/>
          </w:rPr>
          <w:t>Asking about FGM in the 8 week post-birth check</w:t>
        </w:r>
      </w:hyperlink>
    </w:p>
    <w:p w:rsidR="00E142ED" w:rsidRPr="00E142ED" w:rsidRDefault="00B500F0" w:rsidP="00E142ED">
      <w:pPr>
        <w:numPr>
          <w:ilvl w:val="0"/>
          <w:numId w:val="14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-US" w:eastAsia="en-GB"/>
        </w:rPr>
      </w:pPr>
      <w:hyperlink r:id="rId16" w:history="1">
        <w:r w:rsidR="00E142ED" w:rsidRPr="00E142ED">
          <w:rPr>
            <w:rStyle w:val="Hyperlink"/>
            <w:rFonts w:ascii="Century Gothic" w:eastAsia="Times New Roman" w:hAnsi="Century Gothic" w:cstheme="minorHAnsi"/>
            <w:lang w:val="en-US" w:eastAsia="en-GB"/>
          </w:rPr>
          <w:t>Asking a teenage patient about FGM</w:t>
        </w:r>
      </w:hyperlink>
    </w:p>
    <w:p w:rsidR="00E142ED" w:rsidRPr="00E142ED" w:rsidRDefault="00B500F0" w:rsidP="00E142ED">
      <w:pPr>
        <w:numPr>
          <w:ilvl w:val="0"/>
          <w:numId w:val="14"/>
        </w:num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-US" w:eastAsia="en-GB"/>
        </w:rPr>
      </w:pPr>
      <w:hyperlink r:id="rId17" w:history="1">
        <w:r w:rsidR="00E142ED" w:rsidRPr="00E142ED">
          <w:rPr>
            <w:rStyle w:val="Hyperlink"/>
            <w:rFonts w:ascii="Century Gothic" w:eastAsia="Times New Roman" w:hAnsi="Century Gothic" w:cstheme="minorHAnsi"/>
            <w:lang w:val="en-US" w:eastAsia="en-GB"/>
          </w:rPr>
          <w:t xml:space="preserve">Asking about FGM when a girl with family history of FGM presents </w:t>
        </w:r>
      </w:hyperlink>
    </w:p>
    <w:p w:rsidR="00A8378C" w:rsidRPr="00EF52F1" w:rsidRDefault="00A8378C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 w:rsidRPr="00EF52F1">
        <w:rPr>
          <w:rFonts w:ascii="Century Gothic" w:eastAsia="Times New Roman" w:hAnsi="Century Gothic" w:cstheme="minorHAnsi"/>
          <w:b/>
          <w:lang w:val="en" w:eastAsia="en-GB"/>
        </w:rPr>
        <w:t>Re-thinking ‘Did not attend’</w:t>
      </w:r>
    </w:p>
    <w:p w:rsidR="00EF52F1" w:rsidRDefault="00C409FF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 xml:space="preserve">Bolton Safeguarding Children Board has written guidance on the </w:t>
      </w:r>
      <w:hyperlink r:id="rId18" w:history="1">
        <w:r w:rsidRPr="00C409FF">
          <w:rPr>
            <w:rStyle w:val="Hyperlink"/>
            <w:rFonts w:ascii="Century Gothic" w:eastAsia="Times New Roman" w:hAnsi="Century Gothic" w:cstheme="minorHAnsi"/>
            <w:lang w:val="en" w:eastAsia="en-GB"/>
          </w:rPr>
          <w:t>impact of missed appointments on children</w:t>
        </w:r>
      </w:hyperlink>
      <w:r>
        <w:rPr>
          <w:rFonts w:ascii="Century Gothic" w:eastAsia="Times New Roman" w:hAnsi="Century Gothic" w:cstheme="minorHAnsi"/>
          <w:lang w:val="en" w:eastAsia="en-GB"/>
        </w:rPr>
        <w:t xml:space="preserve">.  It </w:t>
      </w:r>
      <w:r w:rsidR="005D6393">
        <w:rPr>
          <w:rFonts w:ascii="Century Gothic" w:eastAsia="Times New Roman" w:hAnsi="Century Gothic" w:cstheme="minorHAnsi"/>
          <w:lang w:val="en" w:eastAsia="en-GB"/>
        </w:rPr>
        <w:t xml:space="preserve">highlights </w:t>
      </w:r>
      <w:r>
        <w:rPr>
          <w:rFonts w:ascii="Century Gothic" w:eastAsia="Times New Roman" w:hAnsi="Century Gothic" w:cstheme="minorHAnsi"/>
          <w:lang w:val="en" w:eastAsia="en-GB"/>
        </w:rPr>
        <w:t xml:space="preserve">the affect that missed appointments can have </w:t>
      </w:r>
      <w:r w:rsidR="005D6393">
        <w:rPr>
          <w:rFonts w:ascii="Century Gothic" w:eastAsia="Times New Roman" w:hAnsi="Century Gothic" w:cstheme="minorHAnsi"/>
          <w:lang w:val="en" w:eastAsia="en-GB"/>
        </w:rPr>
        <w:t>and how that</w:t>
      </w:r>
      <w:r>
        <w:rPr>
          <w:rFonts w:ascii="Century Gothic" w:eastAsia="Times New Roman" w:hAnsi="Century Gothic" w:cstheme="minorHAnsi"/>
          <w:lang w:val="en" w:eastAsia="en-GB"/>
        </w:rPr>
        <w:t xml:space="preserve"> can constitute neglect. Nottingham </w:t>
      </w:r>
      <w:r w:rsidR="00A8378C" w:rsidRPr="00A8378C">
        <w:rPr>
          <w:rFonts w:ascii="Century Gothic" w:eastAsia="Times New Roman" w:hAnsi="Century Gothic" w:cstheme="minorHAnsi"/>
          <w:lang w:val="en" w:eastAsia="en-GB"/>
        </w:rPr>
        <w:t>SCB commissioned a video animation to encourage practitioners to identify children as ‘Was Not Brought’ as opposed to ‘Did Not Attend’ when referring to them not being presented at medical appointments.</w:t>
      </w:r>
    </w:p>
    <w:p w:rsidR="008C5ADF" w:rsidRDefault="00A8378C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 w:rsidRPr="00A8378C">
        <w:rPr>
          <w:rFonts w:ascii="Century Gothic" w:eastAsia="Times New Roman" w:hAnsi="Century Gothic" w:cstheme="minorHAnsi"/>
          <w:lang w:val="en" w:eastAsia="en-GB"/>
        </w:rPr>
        <w:br/>
        <w:t xml:space="preserve">The </w:t>
      </w:r>
      <w:hyperlink r:id="rId19" w:history="1">
        <w:r w:rsidRPr="00EF52F1">
          <w:rPr>
            <w:rStyle w:val="Hyperlink"/>
            <w:rFonts w:ascii="Century Gothic" w:eastAsia="Times New Roman" w:hAnsi="Century Gothic" w:cstheme="minorHAnsi"/>
            <w:lang w:val="en" w:eastAsia="en-GB"/>
          </w:rPr>
          <w:t>animation</w:t>
        </w:r>
      </w:hyperlink>
      <w:r w:rsidRPr="00A8378C">
        <w:rPr>
          <w:rFonts w:ascii="Century Gothic" w:eastAsia="Times New Roman" w:hAnsi="Century Gothic" w:cstheme="minorHAnsi"/>
          <w:lang w:val="en" w:eastAsia="en-GB"/>
        </w:rPr>
        <w:t xml:space="preserve"> is a powerful reminder that children do not take themselves to </w:t>
      </w:r>
      <w:r w:rsidRPr="00A8378C">
        <w:rPr>
          <w:rFonts w:ascii="Century Gothic" w:eastAsia="Times New Roman" w:hAnsi="Century Gothic" w:cstheme="minorHAnsi"/>
          <w:lang w:val="en" w:eastAsia="en-GB"/>
        </w:rPr>
        <w:lastRenderedPageBreak/>
        <w:t>appointments; they have to be taken by parents or carers. The animation therefore encourages practitioners to reflect on the impact that missed appointments have on a child’s wellbeing.</w:t>
      </w:r>
    </w:p>
    <w:p w:rsidR="008C5ADF" w:rsidRDefault="00AC245C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>
        <w:rPr>
          <w:rFonts w:ascii="Century Gothic" w:eastAsia="Times New Roman" w:hAnsi="Century Gothic" w:cstheme="minorHAnsi"/>
          <w:b/>
          <w:lang w:val="en" w:eastAsia="en-GB"/>
        </w:rPr>
        <w:t>Multi-Agency Learning Reviews</w:t>
      </w:r>
      <w:r w:rsidR="00C25EC1">
        <w:rPr>
          <w:rFonts w:ascii="Century Gothic" w:eastAsia="Times New Roman" w:hAnsi="Century Gothic" w:cstheme="minorHAnsi"/>
          <w:b/>
          <w:lang w:val="en" w:eastAsia="en-GB"/>
        </w:rPr>
        <w:t xml:space="preserve"> (MALR)</w:t>
      </w:r>
    </w:p>
    <w:p w:rsidR="00AC245C" w:rsidRDefault="008C5ADF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 w:rsidRPr="00BE1EB1">
        <w:rPr>
          <w:rFonts w:ascii="Century Gothic" w:eastAsia="Times New Roman" w:hAnsi="Century Gothic" w:cstheme="minorHAnsi"/>
          <w:lang w:val="en" w:eastAsia="en-GB"/>
        </w:rPr>
        <w:t>Tameside Safeguarding Children Board have facilitated 2 multi-agency learning reviews – one on Self-Harm and another on Sexual Abuse.  A summary of the reviews</w:t>
      </w:r>
      <w:r w:rsidR="00BE1EB1" w:rsidRPr="00BE1EB1">
        <w:rPr>
          <w:rFonts w:ascii="Century Gothic" w:eastAsia="Times New Roman" w:hAnsi="Century Gothic" w:cstheme="minorHAnsi"/>
          <w:lang w:val="en" w:eastAsia="en-GB"/>
        </w:rPr>
        <w:t xml:space="preserve"> and details of how to refer</w:t>
      </w:r>
      <w:r w:rsidR="00BE1EB1">
        <w:rPr>
          <w:rFonts w:ascii="Century Gothic" w:eastAsia="Times New Roman" w:hAnsi="Century Gothic" w:cstheme="minorHAnsi"/>
          <w:lang w:val="en" w:eastAsia="en-GB"/>
        </w:rPr>
        <w:t xml:space="preserve"> a case</w:t>
      </w:r>
      <w:r w:rsidRPr="00BE1EB1">
        <w:rPr>
          <w:rFonts w:ascii="Century Gothic" w:eastAsia="Times New Roman" w:hAnsi="Century Gothic" w:cstheme="minorHAnsi"/>
          <w:lang w:val="en" w:eastAsia="en-GB"/>
        </w:rPr>
        <w:t xml:space="preserve"> </w:t>
      </w:r>
      <w:r w:rsidR="00BE1EB1" w:rsidRPr="00BE1EB1">
        <w:rPr>
          <w:rFonts w:ascii="Century Gothic" w:eastAsia="Times New Roman" w:hAnsi="Century Gothic" w:cstheme="minorHAnsi"/>
          <w:lang w:val="en" w:eastAsia="en-GB"/>
        </w:rPr>
        <w:t>in</w:t>
      </w:r>
      <w:r w:rsidR="00BE1EB1">
        <w:rPr>
          <w:rFonts w:ascii="Century Gothic" w:eastAsia="Times New Roman" w:hAnsi="Century Gothic" w:cstheme="minorHAnsi"/>
          <w:lang w:val="en" w:eastAsia="en-GB"/>
        </w:rPr>
        <w:t xml:space="preserve"> to the Board</w:t>
      </w:r>
      <w:r w:rsidR="00BE1EB1" w:rsidRPr="00BE1EB1">
        <w:rPr>
          <w:rFonts w:ascii="Century Gothic" w:eastAsia="Times New Roman" w:hAnsi="Century Gothic" w:cstheme="minorHAnsi"/>
          <w:lang w:val="en" w:eastAsia="en-GB"/>
        </w:rPr>
        <w:t xml:space="preserve"> for a </w:t>
      </w:r>
      <w:r w:rsidR="00BE1EB1">
        <w:rPr>
          <w:rFonts w:ascii="Century Gothic" w:eastAsia="Times New Roman" w:hAnsi="Century Gothic" w:cstheme="minorHAnsi"/>
          <w:lang w:val="en" w:eastAsia="en-GB"/>
        </w:rPr>
        <w:t xml:space="preserve">potential </w:t>
      </w:r>
      <w:r w:rsidR="00BE1EB1" w:rsidRPr="00BE1EB1">
        <w:rPr>
          <w:rFonts w:ascii="Century Gothic" w:eastAsia="Times New Roman" w:hAnsi="Century Gothic" w:cstheme="minorHAnsi"/>
          <w:lang w:val="en" w:eastAsia="en-GB"/>
        </w:rPr>
        <w:t xml:space="preserve">Learning Review can be found on the TSCB website. </w:t>
      </w:r>
      <w:r w:rsidR="00BE1EB1" w:rsidRPr="00BE1EB1">
        <w:rPr>
          <w:rFonts w:ascii="Century Gothic" w:eastAsia="Times New Roman" w:hAnsi="Century Gothic" w:cstheme="minorHAnsi"/>
          <w:b/>
          <w:lang w:val="en" w:eastAsia="en-GB"/>
        </w:rPr>
        <w:t xml:space="preserve"> </w:t>
      </w:r>
    </w:p>
    <w:p w:rsidR="00C25EC1" w:rsidRDefault="00C25EC1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>
        <w:rPr>
          <w:rFonts w:ascii="Century Gothic" w:eastAsia="Times New Roman" w:hAnsi="Century Gothic" w:cstheme="minorHAnsi"/>
          <w:b/>
          <w:lang w:val="en" w:eastAsia="en-GB"/>
        </w:rPr>
        <w:object w:dxaOrig="1550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20" o:title=""/>
          </v:shape>
          <o:OLEObject Type="Link" ProgID="Word.Document.12" ShapeID="_x0000_i1025" DrawAspect="Icon" r:id="rId21" UpdateMode="Always">
            <o:LinkType>EnhancedMetaFile</o:LinkType>
            <o:LockedField>false</o:LockedField>
            <o:FieldCodes>\f 0</o:FieldCodes>
          </o:OLEObject>
        </w:object>
      </w:r>
      <w:r>
        <w:rPr>
          <w:rFonts w:ascii="Century Gothic" w:eastAsia="Times New Roman" w:hAnsi="Century Gothic" w:cstheme="minorHAnsi"/>
          <w:b/>
          <w:lang w:val="en" w:eastAsia="en-GB"/>
        </w:rPr>
        <w:object w:dxaOrig="1550" w:dyaOrig="1004">
          <v:shape id="_x0000_i1026" type="#_x0000_t75" style="width:77.25pt;height:50.25pt" o:ole="">
            <v:imagedata r:id="rId22" o:title=""/>
          </v:shape>
          <o:OLEObject Type="Link" ProgID="Word.Document.12" ShapeID="_x0000_i1026" DrawAspect="Icon" r:id="rId23" UpdateMode="Always">
            <o:LinkType>EnhancedMetaFile</o:LinkType>
            <o:LockedField>false</o:LockedField>
            <o:FieldCodes>\f 0</o:FieldCodes>
          </o:OLEObject>
        </w:object>
      </w:r>
    </w:p>
    <w:p w:rsidR="001B0D0B" w:rsidRPr="002D661E" w:rsidRDefault="001B0D0B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  <w:r w:rsidRPr="002D661E">
        <w:rPr>
          <w:rFonts w:ascii="Century Gothic" w:eastAsia="Times New Roman" w:hAnsi="Century Gothic" w:cstheme="minorHAnsi"/>
          <w:b/>
          <w:lang w:val="en" w:eastAsia="en-GB"/>
        </w:rPr>
        <w:t>Practitioner/Stakeholder Sessions</w:t>
      </w:r>
    </w:p>
    <w:p w:rsidR="00F901A2" w:rsidRDefault="001B0D0B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 xml:space="preserve">We’ll be </w:t>
      </w:r>
      <w:r w:rsidR="00F901A2">
        <w:rPr>
          <w:rFonts w:ascii="Century Gothic" w:eastAsia="Times New Roman" w:hAnsi="Century Gothic" w:cstheme="minorHAnsi"/>
          <w:lang w:val="en" w:eastAsia="en-GB"/>
        </w:rPr>
        <w:t xml:space="preserve">holding a multi-agency practitioner session in mid-September.  We have a couple of ideas about the topics that we thought it would be useful to discuss with a view to improving current ways of working.  However, we want to hear your suggestions too.  </w:t>
      </w:r>
    </w:p>
    <w:p w:rsidR="00F22749" w:rsidRDefault="000A1B57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lang w:val="en" w:eastAsia="en-GB"/>
        </w:rPr>
      </w:pPr>
      <w:r>
        <w:rPr>
          <w:rFonts w:ascii="Century Gothic" w:eastAsia="Times New Roman" w:hAnsi="Century Gothic" w:cstheme="minorHAnsi"/>
          <w:lang w:val="en" w:eastAsia="en-GB"/>
        </w:rPr>
        <w:t>Please contact the TSCB Business Manager, Stewart Tod,</w:t>
      </w:r>
      <w:r w:rsidR="006551F7">
        <w:rPr>
          <w:rFonts w:ascii="Century Gothic" w:eastAsia="Times New Roman" w:hAnsi="Century Gothic" w:cstheme="minorHAnsi"/>
          <w:lang w:val="en" w:eastAsia="en-GB"/>
        </w:rPr>
        <w:t xml:space="preserve"> 0161 342 4344, </w:t>
      </w:r>
      <w:hyperlink r:id="rId24" w:history="1">
        <w:r w:rsidR="006551F7" w:rsidRPr="008B4983">
          <w:rPr>
            <w:rStyle w:val="Hyperlink"/>
            <w:rFonts w:ascii="Century Gothic" w:eastAsia="Times New Roman" w:hAnsi="Century Gothic" w:cstheme="minorHAnsi"/>
            <w:lang w:val="en" w:eastAsia="en-GB"/>
          </w:rPr>
          <w:t>stewart.tod@tameside.gov.uk</w:t>
        </w:r>
      </w:hyperlink>
      <w:r w:rsidR="006551F7">
        <w:rPr>
          <w:rFonts w:ascii="Century Gothic" w:eastAsia="Times New Roman" w:hAnsi="Century Gothic" w:cstheme="minorHAnsi"/>
          <w:lang w:val="en" w:eastAsia="en-GB"/>
        </w:rPr>
        <w:t xml:space="preserve"> ,</w:t>
      </w:r>
      <w:r>
        <w:rPr>
          <w:rFonts w:ascii="Century Gothic" w:eastAsia="Times New Roman" w:hAnsi="Century Gothic" w:cstheme="minorHAnsi"/>
          <w:lang w:val="en" w:eastAsia="en-GB"/>
        </w:rPr>
        <w:t xml:space="preserve"> if you </w:t>
      </w:r>
      <w:r w:rsidR="00C25EC1">
        <w:rPr>
          <w:rFonts w:ascii="Century Gothic" w:eastAsia="Times New Roman" w:hAnsi="Century Gothic" w:cstheme="minorHAnsi"/>
          <w:lang w:val="en" w:eastAsia="en-GB"/>
        </w:rPr>
        <w:t>have any suggestions for practitioner sessions.</w:t>
      </w:r>
    </w:p>
    <w:p w:rsidR="00C409FF" w:rsidRPr="00C409FF" w:rsidRDefault="00C409FF" w:rsidP="001111AF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</w:p>
    <w:p w:rsidR="00CC52B1" w:rsidRPr="00D22915" w:rsidRDefault="00CC52B1" w:rsidP="00020D60">
      <w:pPr>
        <w:shd w:val="clear" w:color="auto" w:fill="FFFFFF"/>
        <w:spacing w:after="150" w:line="375" w:lineRule="atLeast"/>
        <w:jc w:val="both"/>
        <w:rPr>
          <w:rFonts w:ascii="Century Gothic" w:eastAsia="Times New Roman" w:hAnsi="Century Gothic" w:cstheme="minorHAnsi"/>
          <w:b/>
          <w:lang w:val="en" w:eastAsia="en-GB"/>
        </w:rPr>
      </w:pPr>
    </w:p>
    <w:sectPr w:rsidR="00CC52B1" w:rsidRPr="00D22915" w:rsidSect="00AB7D76">
      <w:footerReference w:type="default" r:id="rId25"/>
      <w:pgSz w:w="11906" w:h="16838"/>
      <w:pgMar w:top="1440" w:right="1440" w:bottom="1440" w:left="144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F0" w:rsidRDefault="00B500F0" w:rsidP="005430B4">
      <w:pPr>
        <w:spacing w:after="0" w:line="240" w:lineRule="auto"/>
      </w:pPr>
      <w:r>
        <w:separator/>
      </w:r>
    </w:p>
  </w:endnote>
  <w:endnote w:type="continuationSeparator" w:id="0">
    <w:p w:rsidR="00B500F0" w:rsidRDefault="00B500F0" w:rsidP="005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25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ED2" w:rsidRDefault="00DB4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ED2" w:rsidRDefault="00DB4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F0" w:rsidRDefault="00B500F0" w:rsidP="005430B4">
      <w:pPr>
        <w:spacing w:after="0" w:line="240" w:lineRule="auto"/>
      </w:pPr>
      <w:r>
        <w:separator/>
      </w:r>
    </w:p>
  </w:footnote>
  <w:footnote w:type="continuationSeparator" w:id="0">
    <w:p w:rsidR="00B500F0" w:rsidRDefault="00B500F0" w:rsidP="005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C3E"/>
    <w:multiLevelType w:val="hybridMultilevel"/>
    <w:tmpl w:val="66B4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E4BB3"/>
    <w:multiLevelType w:val="multilevel"/>
    <w:tmpl w:val="8A1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F7E6B"/>
    <w:multiLevelType w:val="hybridMultilevel"/>
    <w:tmpl w:val="5AE6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4E47"/>
    <w:multiLevelType w:val="multilevel"/>
    <w:tmpl w:val="A01E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5309A"/>
    <w:multiLevelType w:val="hybridMultilevel"/>
    <w:tmpl w:val="779A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AAA"/>
    <w:multiLevelType w:val="hybridMultilevel"/>
    <w:tmpl w:val="E2C8C460"/>
    <w:lvl w:ilvl="0" w:tplc="7E560F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1EE0"/>
    <w:multiLevelType w:val="hybridMultilevel"/>
    <w:tmpl w:val="52BA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2BA4"/>
    <w:multiLevelType w:val="hybridMultilevel"/>
    <w:tmpl w:val="CD84F144"/>
    <w:lvl w:ilvl="0" w:tplc="7CCC06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C4AD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E2883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4E98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700AC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024B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AA40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6AEC5E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AC771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89B5968"/>
    <w:multiLevelType w:val="hybridMultilevel"/>
    <w:tmpl w:val="7860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386"/>
    <w:multiLevelType w:val="hybridMultilevel"/>
    <w:tmpl w:val="43A45666"/>
    <w:lvl w:ilvl="0" w:tplc="7A92AE6E">
      <w:start w:val="20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A465E"/>
    <w:multiLevelType w:val="hybridMultilevel"/>
    <w:tmpl w:val="73C4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E2CBA"/>
    <w:multiLevelType w:val="multilevel"/>
    <w:tmpl w:val="4BC8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32115"/>
    <w:multiLevelType w:val="hybridMultilevel"/>
    <w:tmpl w:val="C1E6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93483"/>
    <w:multiLevelType w:val="hybridMultilevel"/>
    <w:tmpl w:val="88A8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4D4"/>
    <w:multiLevelType w:val="multilevel"/>
    <w:tmpl w:val="0F52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154CB"/>
    <w:multiLevelType w:val="multilevel"/>
    <w:tmpl w:val="65C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3"/>
    <w:rsid w:val="00003A85"/>
    <w:rsid w:val="00004E95"/>
    <w:rsid w:val="000079DF"/>
    <w:rsid w:val="00010EE7"/>
    <w:rsid w:val="00020D60"/>
    <w:rsid w:val="00021097"/>
    <w:rsid w:val="00025192"/>
    <w:rsid w:val="00034436"/>
    <w:rsid w:val="00053020"/>
    <w:rsid w:val="00054EFE"/>
    <w:rsid w:val="00055651"/>
    <w:rsid w:val="00071BA9"/>
    <w:rsid w:val="00074503"/>
    <w:rsid w:val="0007565D"/>
    <w:rsid w:val="00076A22"/>
    <w:rsid w:val="0008188B"/>
    <w:rsid w:val="00081BC7"/>
    <w:rsid w:val="0008306E"/>
    <w:rsid w:val="00094E38"/>
    <w:rsid w:val="000A1B57"/>
    <w:rsid w:val="000A5977"/>
    <w:rsid w:val="000B222A"/>
    <w:rsid w:val="000B460F"/>
    <w:rsid w:val="000C428B"/>
    <w:rsid w:val="000C4A0D"/>
    <w:rsid w:val="000D2937"/>
    <w:rsid w:val="000E65C4"/>
    <w:rsid w:val="000E6D81"/>
    <w:rsid w:val="000F07DF"/>
    <w:rsid w:val="000F257E"/>
    <w:rsid w:val="000F4830"/>
    <w:rsid w:val="001035AF"/>
    <w:rsid w:val="001037D1"/>
    <w:rsid w:val="001111AF"/>
    <w:rsid w:val="00111F64"/>
    <w:rsid w:val="00114920"/>
    <w:rsid w:val="00122105"/>
    <w:rsid w:val="00135CA3"/>
    <w:rsid w:val="001429F5"/>
    <w:rsid w:val="00150A04"/>
    <w:rsid w:val="00172B5C"/>
    <w:rsid w:val="00173C0A"/>
    <w:rsid w:val="00174174"/>
    <w:rsid w:val="00180E68"/>
    <w:rsid w:val="0018352B"/>
    <w:rsid w:val="00183E0E"/>
    <w:rsid w:val="00185C92"/>
    <w:rsid w:val="001871BE"/>
    <w:rsid w:val="001901C4"/>
    <w:rsid w:val="00191B91"/>
    <w:rsid w:val="001921FE"/>
    <w:rsid w:val="001A31A2"/>
    <w:rsid w:val="001A795C"/>
    <w:rsid w:val="001B0D0B"/>
    <w:rsid w:val="001B42B1"/>
    <w:rsid w:val="001C1486"/>
    <w:rsid w:val="001C7326"/>
    <w:rsid w:val="001D091E"/>
    <w:rsid w:val="001D5712"/>
    <w:rsid w:val="001D7B0A"/>
    <w:rsid w:val="001E015A"/>
    <w:rsid w:val="001E6CA1"/>
    <w:rsid w:val="00200673"/>
    <w:rsid w:val="00203FDF"/>
    <w:rsid w:val="00225431"/>
    <w:rsid w:val="002319FA"/>
    <w:rsid w:val="00232498"/>
    <w:rsid w:val="00236145"/>
    <w:rsid w:val="0023649A"/>
    <w:rsid w:val="00240CEB"/>
    <w:rsid w:val="00241726"/>
    <w:rsid w:val="002425F5"/>
    <w:rsid w:val="0027724E"/>
    <w:rsid w:val="002827BD"/>
    <w:rsid w:val="00284D47"/>
    <w:rsid w:val="00293398"/>
    <w:rsid w:val="002B64F8"/>
    <w:rsid w:val="002D43E8"/>
    <w:rsid w:val="002D661E"/>
    <w:rsid w:val="002E159A"/>
    <w:rsid w:val="002F3B0D"/>
    <w:rsid w:val="002F50FE"/>
    <w:rsid w:val="00301696"/>
    <w:rsid w:val="00305B9B"/>
    <w:rsid w:val="00334D29"/>
    <w:rsid w:val="00337A34"/>
    <w:rsid w:val="003568ED"/>
    <w:rsid w:val="00356D84"/>
    <w:rsid w:val="003667F7"/>
    <w:rsid w:val="003773F7"/>
    <w:rsid w:val="003A1EE0"/>
    <w:rsid w:val="003A1F2A"/>
    <w:rsid w:val="003A44C3"/>
    <w:rsid w:val="003B2CB6"/>
    <w:rsid w:val="003C44BF"/>
    <w:rsid w:val="003C600F"/>
    <w:rsid w:val="003D5EE8"/>
    <w:rsid w:val="003E33BA"/>
    <w:rsid w:val="003E5D10"/>
    <w:rsid w:val="003F4346"/>
    <w:rsid w:val="00445C0E"/>
    <w:rsid w:val="00470278"/>
    <w:rsid w:val="00471B3A"/>
    <w:rsid w:val="00476F6C"/>
    <w:rsid w:val="0048233D"/>
    <w:rsid w:val="0048446B"/>
    <w:rsid w:val="004A7965"/>
    <w:rsid w:val="004B1B99"/>
    <w:rsid w:val="004B6DA2"/>
    <w:rsid w:val="004C1B72"/>
    <w:rsid w:val="004C4FF1"/>
    <w:rsid w:val="004E639E"/>
    <w:rsid w:val="004E7550"/>
    <w:rsid w:val="00501112"/>
    <w:rsid w:val="0050211F"/>
    <w:rsid w:val="00505EF3"/>
    <w:rsid w:val="005064CE"/>
    <w:rsid w:val="00523E26"/>
    <w:rsid w:val="00535EAA"/>
    <w:rsid w:val="005430B4"/>
    <w:rsid w:val="00545BBE"/>
    <w:rsid w:val="00547C5B"/>
    <w:rsid w:val="00561AAA"/>
    <w:rsid w:val="005666A3"/>
    <w:rsid w:val="005676C7"/>
    <w:rsid w:val="00575D3C"/>
    <w:rsid w:val="005778F5"/>
    <w:rsid w:val="00593634"/>
    <w:rsid w:val="0059410D"/>
    <w:rsid w:val="005944A9"/>
    <w:rsid w:val="00596257"/>
    <w:rsid w:val="00596FC0"/>
    <w:rsid w:val="005A0D41"/>
    <w:rsid w:val="005A49BF"/>
    <w:rsid w:val="005A6132"/>
    <w:rsid w:val="005B1BF8"/>
    <w:rsid w:val="005B559F"/>
    <w:rsid w:val="005D33E1"/>
    <w:rsid w:val="005D507C"/>
    <w:rsid w:val="005D6393"/>
    <w:rsid w:val="005D791A"/>
    <w:rsid w:val="005E5EB3"/>
    <w:rsid w:val="005F046F"/>
    <w:rsid w:val="005F1120"/>
    <w:rsid w:val="005F76E6"/>
    <w:rsid w:val="005F78A0"/>
    <w:rsid w:val="00614F2D"/>
    <w:rsid w:val="006551F7"/>
    <w:rsid w:val="0066287A"/>
    <w:rsid w:val="00673C5F"/>
    <w:rsid w:val="00680965"/>
    <w:rsid w:val="006A0A24"/>
    <w:rsid w:val="006A1E9E"/>
    <w:rsid w:val="006B2A2D"/>
    <w:rsid w:val="006C4FBB"/>
    <w:rsid w:val="006D500F"/>
    <w:rsid w:val="006E1630"/>
    <w:rsid w:val="006E4ED4"/>
    <w:rsid w:val="006F0CED"/>
    <w:rsid w:val="00704521"/>
    <w:rsid w:val="00705982"/>
    <w:rsid w:val="0070764B"/>
    <w:rsid w:val="00733078"/>
    <w:rsid w:val="00763DF6"/>
    <w:rsid w:val="00764BEF"/>
    <w:rsid w:val="00765220"/>
    <w:rsid w:val="00790987"/>
    <w:rsid w:val="00790BB1"/>
    <w:rsid w:val="00795C96"/>
    <w:rsid w:val="007A6589"/>
    <w:rsid w:val="007B59BA"/>
    <w:rsid w:val="007D0950"/>
    <w:rsid w:val="007E315E"/>
    <w:rsid w:val="007E3AA0"/>
    <w:rsid w:val="007E4802"/>
    <w:rsid w:val="007E6D42"/>
    <w:rsid w:val="00804175"/>
    <w:rsid w:val="00806AFC"/>
    <w:rsid w:val="008221A8"/>
    <w:rsid w:val="00827276"/>
    <w:rsid w:val="00850125"/>
    <w:rsid w:val="00854446"/>
    <w:rsid w:val="0086724F"/>
    <w:rsid w:val="008978D9"/>
    <w:rsid w:val="008A2FD2"/>
    <w:rsid w:val="008A3921"/>
    <w:rsid w:val="008B4DB7"/>
    <w:rsid w:val="008C3987"/>
    <w:rsid w:val="008C5ADF"/>
    <w:rsid w:val="008D45AD"/>
    <w:rsid w:val="008E7113"/>
    <w:rsid w:val="0090328D"/>
    <w:rsid w:val="009049D1"/>
    <w:rsid w:val="009349C4"/>
    <w:rsid w:val="009354DC"/>
    <w:rsid w:val="00943346"/>
    <w:rsid w:val="00951F0A"/>
    <w:rsid w:val="00965037"/>
    <w:rsid w:val="00973B94"/>
    <w:rsid w:val="00982B3C"/>
    <w:rsid w:val="009830D0"/>
    <w:rsid w:val="00985C9A"/>
    <w:rsid w:val="0099324B"/>
    <w:rsid w:val="009A73FF"/>
    <w:rsid w:val="009B7FBA"/>
    <w:rsid w:val="009D5B83"/>
    <w:rsid w:val="009E0D7D"/>
    <w:rsid w:val="009E30F1"/>
    <w:rsid w:val="009E5C42"/>
    <w:rsid w:val="009E6A6C"/>
    <w:rsid w:val="009E7694"/>
    <w:rsid w:val="009E7986"/>
    <w:rsid w:val="009F0604"/>
    <w:rsid w:val="009F09AE"/>
    <w:rsid w:val="009F51E6"/>
    <w:rsid w:val="00A012EC"/>
    <w:rsid w:val="00A077CB"/>
    <w:rsid w:val="00A2320E"/>
    <w:rsid w:val="00A27CC0"/>
    <w:rsid w:val="00A36E5D"/>
    <w:rsid w:val="00A409D7"/>
    <w:rsid w:val="00A5330A"/>
    <w:rsid w:val="00A5618D"/>
    <w:rsid w:val="00A57674"/>
    <w:rsid w:val="00A626FE"/>
    <w:rsid w:val="00A73D9E"/>
    <w:rsid w:val="00A804E1"/>
    <w:rsid w:val="00A8378C"/>
    <w:rsid w:val="00A944A5"/>
    <w:rsid w:val="00AA237D"/>
    <w:rsid w:val="00AA45FE"/>
    <w:rsid w:val="00AA5A5F"/>
    <w:rsid w:val="00AA6B75"/>
    <w:rsid w:val="00AB38E6"/>
    <w:rsid w:val="00AB7D76"/>
    <w:rsid w:val="00AC245C"/>
    <w:rsid w:val="00AD60CC"/>
    <w:rsid w:val="00AE1C9E"/>
    <w:rsid w:val="00AE2EEC"/>
    <w:rsid w:val="00AE761B"/>
    <w:rsid w:val="00AF53E5"/>
    <w:rsid w:val="00B07456"/>
    <w:rsid w:val="00B16A51"/>
    <w:rsid w:val="00B36545"/>
    <w:rsid w:val="00B463A2"/>
    <w:rsid w:val="00B500F0"/>
    <w:rsid w:val="00B51780"/>
    <w:rsid w:val="00B654CB"/>
    <w:rsid w:val="00B658A0"/>
    <w:rsid w:val="00B85991"/>
    <w:rsid w:val="00B93D06"/>
    <w:rsid w:val="00B96E47"/>
    <w:rsid w:val="00BB1337"/>
    <w:rsid w:val="00BB2669"/>
    <w:rsid w:val="00BB3548"/>
    <w:rsid w:val="00BB376B"/>
    <w:rsid w:val="00BB4D4E"/>
    <w:rsid w:val="00BC0D1D"/>
    <w:rsid w:val="00BC2D40"/>
    <w:rsid w:val="00BD4E4E"/>
    <w:rsid w:val="00BE1EB1"/>
    <w:rsid w:val="00BF5FE4"/>
    <w:rsid w:val="00C12F19"/>
    <w:rsid w:val="00C16026"/>
    <w:rsid w:val="00C203EC"/>
    <w:rsid w:val="00C25EC1"/>
    <w:rsid w:val="00C368A6"/>
    <w:rsid w:val="00C409FF"/>
    <w:rsid w:val="00C51624"/>
    <w:rsid w:val="00C7667A"/>
    <w:rsid w:val="00C867BC"/>
    <w:rsid w:val="00CB06B7"/>
    <w:rsid w:val="00CB1468"/>
    <w:rsid w:val="00CC0916"/>
    <w:rsid w:val="00CC2821"/>
    <w:rsid w:val="00CC2D94"/>
    <w:rsid w:val="00CC4C5A"/>
    <w:rsid w:val="00CC52B1"/>
    <w:rsid w:val="00CC7B00"/>
    <w:rsid w:val="00CF3109"/>
    <w:rsid w:val="00CF5335"/>
    <w:rsid w:val="00D04974"/>
    <w:rsid w:val="00D105E9"/>
    <w:rsid w:val="00D11A88"/>
    <w:rsid w:val="00D11BD1"/>
    <w:rsid w:val="00D15645"/>
    <w:rsid w:val="00D15A33"/>
    <w:rsid w:val="00D16999"/>
    <w:rsid w:val="00D2236B"/>
    <w:rsid w:val="00D22915"/>
    <w:rsid w:val="00D54CAB"/>
    <w:rsid w:val="00D64EAE"/>
    <w:rsid w:val="00D80D58"/>
    <w:rsid w:val="00D84F7F"/>
    <w:rsid w:val="00DA369E"/>
    <w:rsid w:val="00DA78C5"/>
    <w:rsid w:val="00DB3E54"/>
    <w:rsid w:val="00DB4ED2"/>
    <w:rsid w:val="00DD08A2"/>
    <w:rsid w:val="00DE2751"/>
    <w:rsid w:val="00DF1BFB"/>
    <w:rsid w:val="00E111CF"/>
    <w:rsid w:val="00E1313A"/>
    <w:rsid w:val="00E132F5"/>
    <w:rsid w:val="00E142ED"/>
    <w:rsid w:val="00E158C5"/>
    <w:rsid w:val="00E15CFB"/>
    <w:rsid w:val="00E213CD"/>
    <w:rsid w:val="00E34604"/>
    <w:rsid w:val="00E50EF1"/>
    <w:rsid w:val="00E5297F"/>
    <w:rsid w:val="00E64770"/>
    <w:rsid w:val="00E86B3D"/>
    <w:rsid w:val="00E96555"/>
    <w:rsid w:val="00EA28AC"/>
    <w:rsid w:val="00EC0BFA"/>
    <w:rsid w:val="00EC2D44"/>
    <w:rsid w:val="00EC60DB"/>
    <w:rsid w:val="00EC7BC0"/>
    <w:rsid w:val="00ED3B1F"/>
    <w:rsid w:val="00EE21BF"/>
    <w:rsid w:val="00EE7E01"/>
    <w:rsid w:val="00EF156A"/>
    <w:rsid w:val="00EF52F1"/>
    <w:rsid w:val="00EF6C3B"/>
    <w:rsid w:val="00EF79F2"/>
    <w:rsid w:val="00F077D2"/>
    <w:rsid w:val="00F16E12"/>
    <w:rsid w:val="00F20F7B"/>
    <w:rsid w:val="00F22749"/>
    <w:rsid w:val="00F40200"/>
    <w:rsid w:val="00F4047E"/>
    <w:rsid w:val="00F41DD9"/>
    <w:rsid w:val="00F46E1E"/>
    <w:rsid w:val="00F47DBF"/>
    <w:rsid w:val="00F76533"/>
    <w:rsid w:val="00F7733A"/>
    <w:rsid w:val="00F901A2"/>
    <w:rsid w:val="00F937C6"/>
    <w:rsid w:val="00F965D4"/>
    <w:rsid w:val="00FC3E69"/>
    <w:rsid w:val="00FD0871"/>
    <w:rsid w:val="00FE5FEA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B4"/>
  </w:style>
  <w:style w:type="paragraph" w:styleId="Footer">
    <w:name w:val="footer"/>
    <w:basedOn w:val="Normal"/>
    <w:link w:val="FooterChar"/>
    <w:uiPriority w:val="99"/>
    <w:unhideWhenUsed/>
    <w:rsid w:val="0054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B4"/>
  </w:style>
  <w:style w:type="character" w:styleId="FollowedHyperlink">
    <w:name w:val="FollowedHyperlink"/>
    <w:basedOn w:val="DefaultParagraphFont"/>
    <w:uiPriority w:val="99"/>
    <w:semiHidden/>
    <w:unhideWhenUsed/>
    <w:rsid w:val="00E647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B4"/>
  </w:style>
  <w:style w:type="paragraph" w:styleId="Footer">
    <w:name w:val="footer"/>
    <w:basedOn w:val="Normal"/>
    <w:link w:val="FooterChar"/>
    <w:uiPriority w:val="99"/>
    <w:unhideWhenUsed/>
    <w:rsid w:val="0054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B4"/>
  </w:style>
  <w:style w:type="character" w:styleId="FollowedHyperlink">
    <w:name w:val="FollowedHyperlink"/>
    <w:basedOn w:val="DefaultParagraphFont"/>
    <w:uiPriority w:val="99"/>
    <w:semiHidden/>
    <w:unhideWhenUsed/>
    <w:rsid w:val="00E647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961">
                      <w:marLeft w:val="0"/>
                      <w:marRight w:val="435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45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atermanchesterscb.proceduresonline.com/chapters/register_updates.html" TargetMode="External"/><Relationship Id="rId18" Type="http://schemas.openxmlformats.org/officeDocument/2006/relationships/hyperlink" Target="http://boltonsafeguardingchildren.org.uk/wp-content/uploads/2016/03/0a43c295484ea25f1859a2db64eddc1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file:///\\tmbcfserv01\TSCB\TSCB%20Sub%20Group%20QAPM\MALR\MALR%20Summary%20Self%20Harm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reatermanchesterscb.proceduresonline.com/chapters/amendments.html" TargetMode="External"/><Relationship Id="rId17" Type="http://schemas.openxmlformats.org/officeDocument/2006/relationships/hyperlink" Target="https://youtu.be/B5OMShJE-Xw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aWA1yf1Fgsc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24" Type="http://schemas.openxmlformats.org/officeDocument/2006/relationships/hyperlink" Target="mailto:stewart.tod@tameside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ULhKBxdSig" TargetMode="External"/><Relationship Id="rId23" Type="http://schemas.openxmlformats.org/officeDocument/2006/relationships/oleObject" Target="file:///\\tmbcfserv01\TSCB\TSCB%20Sub%20Group%20QAPM\MALR\Sexual%20abuse\MALR%20summary%20sexual%20abuse.docx" TargetMode="External"/><Relationship Id="rId10" Type="http://schemas.openxmlformats.org/officeDocument/2006/relationships/hyperlink" Target="https://assets.publishing.service.gov.uk/government/uploads/system/uploads/attachment_data/file/722305/Working_Together_to_Safeguard_Children_-_Guide.pdf" TargetMode="External"/><Relationship Id="rId19" Type="http://schemas.openxmlformats.org/officeDocument/2006/relationships/hyperlink" Target="https://www.youtube.com/watch?v=dAdNL6d4l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ngland.nhs.uk/ourwork/safeguarding/our-work/fgm/" TargetMode="Externa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CBEE-B681-4873-AA57-FD1B95E1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Quinn</dc:creator>
  <cp:lastModifiedBy>Christine Bryan</cp:lastModifiedBy>
  <cp:revision>3</cp:revision>
  <cp:lastPrinted>2018-05-22T14:49:00Z</cp:lastPrinted>
  <dcterms:created xsi:type="dcterms:W3CDTF">2018-07-20T09:22:00Z</dcterms:created>
  <dcterms:modified xsi:type="dcterms:W3CDTF">2018-07-20T09:22:00Z</dcterms:modified>
</cp:coreProperties>
</file>